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AAAA1" w14:textId="77777777" w:rsidR="006B7B1C" w:rsidRPr="0089630F" w:rsidRDefault="0087120C" w:rsidP="007F18DD">
      <w:pPr>
        <w:pStyle w:val="Heading1"/>
        <w:spacing w:before="0"/>
        <w:jc w:val="center"/>
        <w:rPr>
          <w:b/>
          <w:bCs/>
          <w:sz w:val="36"/>
          <w:szCs w:val="36"/>
        </w:rPr>
      </w:pPr>
      <w:r w:rsidRPr="0089630F">
        <w:rPr>
          <w:b/>
          <w:bCs/>
          <w:sz w:val="36"/>
          <w:szCs w:val="36"/>
        </w:rPr>
        <w:t xml:space="preserve">The Midterm Review of the Implementation of the </w:t>
      </w:r>
      <w:r w:rsidRPr="0089630F">
        <w:rPr>
          <w:b/>
          <w:bCs/>
          <w:sz w:val="36"/>
          <w:szCs w:val="36"/>
        </w:rPr>
        <w:br/>
        <w:t>Sendai Framework for Disaster Risk Reduction 2015-2030</w:t>
      </w:r>
    </w:p>
    <w:p w14:paraId="0E6532CE" w14:textId="791CE29D" w:rsidR="00BA7D72" w:rsidRPr="0089630F" w:rsidRDefault="0087120C" w:rsidP="0087120C">
      <w:pPr>
        <w:pStyle w:val="Heading1"/>
        <w:spacing w:before="0"/>
        <w:jc w:val="center"/>
        <w:rPr>
          <w:b/>
          <w:bCs/>
          <w:color w:val="C00000"/>
          <w:sz w:val="28"/>
          <w:szCs w:val="28"/>
        </w:rPr>
      </w:pPr>
      <w:r w:rsidRPr="0089630F">
        <w:rPr>
          <w:b/>
          <w:bCs/>
          <w:sz w:val="20"/>
          <w:szCs w:val="20"/>
        </w:rPr>
        <w:br/>
      </w:r>
      <w:r w:rsidRPr="0089630F">
        <w:rPr>
          <w:b/>
          <w:bCs/>
          <w:color w:val="C00000"/>
          <w:sz w:val="28"/>
          <w:szCs w:val="28"/>
        </w:rPr>
        <w:t>Consultations</w:t>
      </w:r>
      <w:r w:rsidR="00BA7D72" w:rsidRPr="0089630F">
        <w:rPr>
          <w:b/>
          <w:bCs/>
          <w:color w:val="C00000"/>
          <w:sz w:val="28"/>
          <w:szCs w:val="28"/>
        </w:rPr>
        <w:t xml:space="preserve">, </w:t>
      </w:r>
      <w:r w:rsidR="000E704F" w:rsidRPr="0089630F">
        <w:rPr>
          <w:b/>
          <w:bCs/>
          <w:color w:val="C00000"/>
          <w:sz w:val="28"/>
          <w:szCs w:val="28"/>
        </w:rPr>
        <w:t xml:space="preserve">Stocktaking and </w:t>
      </w:r>
      <w:r w:rsidR="00BA7D72" w:rsidRPr="0089630F">
        <w:rPr>
          <w:b/>
          <w:bCs/>
          <w:color w:val="C00000"/>
          <w:sz w:val="28"/>
          <w:szCs w:val="28"/>
        </w:rPr>
        <w:t>Review</w:t>
      </w:r>
    </w:p>
    <w:p w14:paraId="59629105" w14:textId="13802F3D" w:rsidR="0087120C" w:rsidRPr="0089630F" w:rsidRDefault="00BA7D72" w:rsidP="005D234C">
      <w:pPr>
        <w:pStyle w:val="Heading1"/>
        <w:spacing w:before="0" w:after="240"/>
        <w:jc w:val="center"/>
        <w:rPr>
          <w:b/>
          <w:bCs/>
          <w:color w:val="C00000"/>
          <w:sz w:val="28"/>
          <w:szCs w:val="28"/>
        </w:rPr>
      </w:pPr>
      <w:r w:rsidRPr="0089630F">
        <w:rPr>
          <w:b/>
          <w:bCs/>
          <w:color w:val="C00000"/>
          <w:sz w:val="28"/>
          <w:szCs w:val="28"/>
        </w:rPr>
        <w:t>Guidance</w:t>
      </w:r>
      <w:r w:rsidR="00F2335F" w:rsidRPr="0089630F">
        <w:rPr>
          <w:b/>
          <w:bCs/>
          <w:color w:val="C00000"/>
          <w:sz w:val="28"/>
          <w:szCs w:val="28"/>
        </w:rPr>
        <w:t xml:space="preserve"> for </w:t>
      </w:r>
      <w:r w:rsidR="000E704F" w:rsidRPr="0089630F">
        <w:rPr>
          <w:b/>
          <w:bCs/>
          <w:color w:val="C00000"/>
          <w:sz w:val="28"/>
          <w:szCs w:val="28"/>
        </w:rPr>
        <w:t>Stakeholders</w:t>
      </w:r>
    </w:p>
    <w:p w14:paraId="2C3BF885" w14:textId="716DF9DF" w:rsidR="00D539CC" w:rsidRPr="00CA457B" w:rsidRDefault="00BA7D72" w:rsidP="00CA457B">
      <w:pPr>
        <w:spacing w:before="120" w:after="120"/>
        <w:jc w:val="both"/>
        <w:rPr>
          <w:lang w:val="en-GB"/>
        </w:rPr>
      </w:pPr>
      <w:r w:rsidRPr="0089630F">
        <w:rPr>
          <w:lang w:val="en-GB"/>
        </w:rPr>
        <w:t xml:space="preserve">This guidance should be read in conjunction with the </w:t>
      </w:r>
      <w:r w:rsidRPr="0089630F">
        <w:rPr>
          <w:i/>
          <w:iCs/>
          <w:lang w:val="en-GB"/>
        </w:rPr>
        <w:t>Concept Note</w:t>
      </w:r>
      <w:r w:rsidRPr="0089630F">
        <w:rPr>
          <w:lang w:val="en-GB"/>
        </w:rPr>
        <w:t xml:space="preserve"> of the Midterm Review of the Implementation of the Sendai Framework for Disaster Risk Reduction 2015-2030</w:t>
      </w:r>
      <w:r w:rsidR="008B7E8B">
        <w:rPr>
          <w:lang w:val="en-GB"/>
        </w:rPr>
        <w:t xml:space="preserve"> (MTR SF)</w:t>
      </w:r>
      <w:r w:rsidRPr="0089630F">
        <w:rPr>
          <w:lang w:val="en-GB"/>
        </w:rPr>
        <w:t xml:space="preserve">, which was </w:t>
      </w:r>
      <w:r w:rsidR="00033D24">
        <w:rPr>
          <w:lang w:val="en-GB"/>
        </w:rPr>
        <w:t>shared with stakeholders</w:t>
      </w:r>
      <w:r w:rsidR="005D20E7">
        <w:rPr>
          <w:lang w:val="en-GB"/>
        </w:rPr>
        <w:t xml:space="preserve">, including through the UNDRR Stakeholder Engagement Mechanism </w:t>
      </w:r>
      <w:r w:rsidR="00557EA9" w:rsidRPr="0089630F">
        <w:rPr>
          <w:lang w:val="en-GB"/>
        </w:rPr>
        <w:t>(and is included in Annex II of this Guidance Note</w:t>
      </w:r>
      <w:r w:rsidR="001F3B7A">
        <w:rPr>
          <w:lang w:val="en-GB"/>
        </w:rPr>
        <w:t xml:space="preserve"> and available on the </w:t>
      </w:r>
      <w:hyperlink r:id="rId11" w:history="1">
        <w:r w:rsidR="001F3B7A" w:rsidRPr="001F3B7A">
          <w:rPr>
            <w:rStyle w:val="Hyperlink"/>
            <w:lang w:val="en-GB"/>
          </w:rPr>
          <w:t>MTR SF website</w:t>
        </w:r>
      </w:hyperlink>
      <w:r w:rsidR="00557EA9" w:rsidRPr="0089630F">
        <w:rPr>
          <w:lang w:val="en-GB"/>
        </w:rPr>
        <w:t>)</w:t>
      </w:r>
      <w:r w:rsidR="005D20E7">
        <w:rPr>
          <w:lang w:val="en-GB"/>
        </w:rPr>
        <w:t>. The Concept Note</w:t>
      </w:r>
      <w:r w:rsidR="00451909" w:rsidRPr="0089630F">
        <w:rPr>
          <w:lang w:val="en-GB"/>
        </w:rPr>
        <w:t xml:space="preserve"> outlines </w:t>
      </w:r>
      <w:r w:rsidR="00451909" w:rsidRPr="0089630F">
        <w:rPr>
          <w:i/>
          <w:iCs/>
          <w:lang w:val="en-GB"/>
        </w:rPr>
        <w:t>inter alia</w:t>
      </w:r>
      <w:r w:rsidR="00451909" w:rsidRPr="0089630F">
        <w:rPr>
          <w:lang w:val="en-GB"/>
        </w:rPr>
        <w:t xml:space="preserve"> the </w:t>
      </w:r>
      <w:r w:rsidR="00D539CC" w:rsidRPr="0089630F">
        <w:rPr>
          <w:lang w:val="en-GB"/>
        </w:rPr>
        <w:t xml:space="preserve">rationale, </w:t>
      </w:r>
      <w:r w:rsidR="00451909" w:rsidRPr="0089630F">
        <w:rPr>
          <w:lang w:val="en-GB"/>
        </w:rPr>
        <w:t>scope, approach and mandate of the MTR SF</w:t>
      </w:r>
      <w:r w:rsidRPr="0089630F">
        <w:rPr>
          <w:lang w:val="en-GB"/>
        </w:rPr>
        <w:t>.</w:t>
      </w:r>
    </w:p>
    <w:p w14:paraId="34BD0F74" w14:textId="1DBD0F4A" w:rsidR="001C3B32" w:rsidRPr="0089630F" w:rsidRDefault="007D1860" w:rsidP="00421A53">
      <w:pPr>
        <w:pStyle w:val="Heading3"/>
        <w:numPr>
          <w:ilvl w:val="0"/>
          <w:numId w:val="1"/>
        </w:numPr>
        <w:tabs>
          <w:tab w:val="num" w:pos="360"/>
        </w:tabs>
        <w:spacing w:before="240" w:after="120"/>
        <w:ind w:left="357" w:hanging="357"/>
        <w:rPr>
          <w:color w:val="C00000"/>
          <w:sz w:val="28"/>
          <w:szCs w:val="28"/>
        </w:rPr>
      </w:pPr>
      <w:r w:rsidRPr="0089630F">
        <w:rPr>
          <w:color w:val="C00000"/>
          <w:sz w:val="28"/>
          <w:szCs w:val="28"/>
        </w:rPr>
        <w:t>Introduction</w:t>
      </w:r>
      <w:r w:rsidR="00335201" w:rsidRPr="0089630F">
        <w:rPr>
          <w:color w:val="C00000"/>
          <w:sz w:val="28"/>
          <w:szCs w:val="28"/>
        </w:rPr>
        <w:t xml:space="preserve"> </w:t>
      </w:r>
    </w:p>
    <w:p w14:paraId="50722A0B" w14:textId="35A37118" w:rsidR="00CA457B" w:rsidRPr="00CA457B" w:rsidRDefault="00CA457B" w:rsidP="0031451A">
      <w:pPr>
        <w:pStyle w:val="ListParagraph"/>
        <w:numPr>
          <w:ilvl w:val="1"/>
          <w:numId w:val="1"/>
        </w:numPr>
        <w:spacing w:before="120" w:after="120"/>
        <w:ind w:left="426" w:hanging="426"/>
        <w:contextualSpacing w:val="0"/>
        <w:jc w:val="both"/>
        <w:rPr>
          <w:lang w:val="en-GB"/>
        </w:rPr>
      </w:pPr>
      <w:r w:rsidRPr="0076567D">
        <w:rPr>
          <w:rFonts w:cstheme="minorHAnsi"/>
        </w:rPr>
        <w:t xml:space="preserve">In resolution </w:t>
      </w:r>
      <w:r>
        <w:rPr>
          <w:rFonts w:cstheme="minorHAnsi"/>
        </w:rPr>
        <w:t>A/</w:t>
      </w:r>
      <w:r w:rsidRPr="0076567D">
        <w:rPr>
          <w:rFonts w:cstheme="minorHAnsi"/>
        </w:rPr>
        <w:t xml:space="preserve">76/204, the General Assembly invites States to assess progress, gaps and challenges in the implementation of the Sendai Framework at the local, national, regional and global levels and to share findings, good practices and recommendations with the United Nations Office for Disaster Risk Reduction, to be included in a report on the midterm review. </w:t>
      </w:r>
      <w:r w:rsidR="00653821">
        <w:rPr>
          <w:rFonts w:cstheme="minorHAnsi"/>
        </w:rPr>
        <w:t>Consistent with</w:t>
      </w:r>
      <w:r w:rsidRPr="0076567D">
        <w:rPr>
          <w:rFonts w:cstheme="minorHAnsi"/>
        </w:rPr>
        <w:t xml:space="preserve"> the Sendai Framework</w:t>
      </w:r>
      <w:r w:rsidR="009927F4">
        <w:rPr>
          <w:rFonts w:cstheme="minorHAnsi"/>
        </w:rPr>
        <w:t xml:space="preserve"> for Disaster Risk Reduction 2015-2030 (Sendai Framework)</w:t>
      </w:r>
      <w:r w:rsidRPr="0076567D">
        <w:rPr>
          <w:rFonts w:cstheme="minorHAnsi"/>
        </w:rPr>
        <w:t xml:space="preserve">, national consultations should at minimum be inclusive and participatory, </w:t>
      </w:r>
      <w:r>
        <w:rPr>
          <w:rFonts w:cstheme="minorHAnsi"/>
        </w:rPr>
        <w:t xml:space="preserve">and </w:t>
      </w:r>
      <w:r w:rsidRPr="0076567D">
        <w:rPr>
          <w:rFonts w:cstheme="minorHAnsi"/>
        </w:rPr>
        <w:t>engage a broad range of stakeholders.</w:t>
      </w:r>
      <w:r w:rsidRPr="0076567D">
        <w:rPr>
          <w:rFonts w:cstheme="minorHAnsi"/>
          <w:lang w:val="en-GB"/>
        </w:rPr>
        <w:t xml:space="preserve"> </w:t>
      </w:r>
    </w:p>
    <w:p w14:paraId="3DCDB2B9" w14:textId="275F9812" w:rsidR="00F67030" w:rsidRPr="0089630F" w:rsidRDefault="00C87FC8" w:rsidP="0031451A">
      <w:pPr>
        <w:pStyle w:val="ListParagraph"/>
        <w:numPr>
          <w:ilvl w:val="1"/>
          <w:numId w:val="1"/>
        </w:numPr>
        <w:spacing w:before="120" w:after="120"/>
        <w:ind w:left="426" w:hanging="426"/>
        <w:contextualSpacing w:val="0"/>
        <w:jc w:val="both"/>
        <w:rPr>
          <w:lang w:val="en-GB"/>
        </w:rPr>
      </w:pPr>
      <w:r w:rsidRPr="0089630F">
        <w:rPr>
          <w:color w:val="000000" w:themeColor="text1"/>
          <w:lang w:val="en-GB"/>
        </w:rPr>
        <w:t xml:space="preserve">In line with the </w:t>
      </w:r>
      <w:r w:rsidRPr="0089630F">
        <w:rPr>
          <w:i/>
          <w:color w:val="000000" w:themeColor="text1"/>
          <w:lang w:val="en-GB"/>
        </w:rPr>
        <w:t>all</w:t>
      </w:r>
      <w:r w:rsidR="00540981" w:rsidRPr="0089630F">
        <w:rPr>
          <w:i/>
          <w:color w:val="000000" w:themeColor="text1"/>
          <w:lang w:val="en-GB"/>
        </w:rPr>
        <w:t>-</w:t>
      </w:r>
      <w:r w:rsidRPr="0089630F">
        <w:rPr>
          <w:i/>
          <w:color w:val="000000" w:themeColor="text1"/>
          <w:lang w:val="en-GB"/>
        </w:rPr>
        <w:t>of</w:t>
      </w:r>
      <w:r w:rsidR="00540981" w:rsidRPr="0089630F">
        <w:rPr>
          <w:i/>
          <w:color w:val="000000" w:themeColor="text1"/>
          <w:lang w:val="en-GB"/>
        </w:rPr>
        <w:t>-</w:t>
      </w:r>
      <w:r w:rsidRPr="0089630F">
        <w:rPr>
          <w:i/>
          <w:color w:val="000000" w:themeColor="text1"/>
          <w:lang w:val="en-GB"/>
        </w:rPr>
        <w:t xml:space="preserve">society </w:t>
      </w:r>
      <w:r w:rsidRPr="0089630F">
        <w:rPr>
          <w:color w:val="000000" w:themeColor="text1"/>
          <w:lang w:val="en-GB"/>
        </w:rPr>
        <w:t>approach of the Sendai Framework</w:t>
      </w:r>
      <w:r w:rsidR="00A85E4B" w:rsidRPr="0089630F">
        <w:rPr>
          <w:color w:val="000000" w:themeColor="text1"/>
          <w:lang w:val="en-GB"/>
        </w:rPr>
        <w:t xml:space="preserve"> for Disaster Risk Reduction 2015-2030 (Sendai Framework)</w:t>
      </w:r>
      <w:r w:rsidR="002F49F2" w:rsidRPr="0089630F">
        <w:rPr>
          <w:color w:val="000000" w:themeColor="text1"/>
          <w:lang w:val="en-GB"/>
        </w:rPr>
        <w:t xml:space="preserve"> (see Section 2.)</w:t>
      </w:r>
      <w:r w:rsidR="00540981" w:rsidRPr="0089630F">
        <w:rPr>
          <w:color w:val="000000" w:themeColor="text1"/>
          <w:lang w:val="en-GB"/>
        </w:rPr>
        <w:t>,</w:t>
      </w:r>
      <w:r w:rsidRPr="0089630F">
        <w:rPr>
          <w:color w:val="000000" w:themeColor="text1"/>
          <w:lang w:val="en-GB"/>
        </w:rPr>
        <w:t xml:space="preserve"> and as recommended by the UN Secretary-General</w:t>
      </w:r>
      <w:r w:rsidR="000C1DDE">
        <w:rPr>
          <w:rFonts w:ascii="ZWAdobeF" w:hAnsi="ZWAdobeF" w:cs="ZWAdobeF"/>
          <w:sz w:val="2"/>
          <w:szCs w:val="2"/>
          <w:lang w:val="en-GB"/>
        </w:rPr>
        <w:t>0F</w:t>
      </w:r>
      <w:r w:rsidRPr="0089630F">
        <w:rPr>
          <w:color w:val="000000" w:themeColor="text1"/>
          <w:vertAlign w:val="superscript"/>
          <w:lang w:val="en-GB"/>
        </w:rPr>
        <w:footnoteReference w:id="2"/>
      </w:r>
      <w:r w:rsidRPr="0089630F">
        <w:rPr>
          <w:color w:val="000000" w:themeColor="text1"/>
          <w:lang w:val="en-GB"/>
        </w:rPr>
        <w:t>,</w:t>
      </w:r>
      <w:r w:rsidRPr="0089630F">
        <w:rPr>
          <w:color w:val="000000" w:themeColor="text1"/>
          <w:vertAlign w:val="superscript"/>
          <w:lang w:val="en-GB"/>
        </w:rPr>
        <w:t xml:space="preserve"> </w:t>
      </w:r>
      <w:r w:rsidRPr="0089630F">
        <w:rPr>
          <w:color w:val="000000" w:themeColor="text1"/>
          <w:lang w:val="en-GB"/>
        </w:rPr>
        <w:t xml:space="preserve">stakeholder consultations and review are </w:t>
      </w:r>
      <w:r w:rsidR="00540981" w:rsidRPr="0089630F">
        <w:rPr>
          <w:color w:val="000000" w:themeColor="text1"/>
          <w:lang w:val="en-GB"/>
        </w:rPr>
        <w:t xml:space="preserve">a </w:t>
      </w:r>
      <w:r w:rsidRPr="0089630F">
        <w:rPr>
          <w:color w:val="000000" w:themeColor="text1"/>
          <w:lang w:val="en-GB"/>
        </w:rPr>
        <w:t xml:space="preserve">critically important </w:t>
      </w:r>
      <w:r w:rsidR="00540981" w:rsidRPr="0089630F">
        <w:rPr>
          <w:color w:val="000000" w:themeColor="text1"/>
          <w:lang w:val="en-GB"/>
        </w:rPr>
        <w:t>component of</w:t>
      </w:r>
      <w:r w:rsidRPr="0089630F">
        <w:rPr>
          <w:color w:val="000000" w:themeColor="text1"/>
          <w:lang w:val="en-GB"/>
        </w:rPr>
        <w:t xml:space="preserve"> the MTR SF.</w:t>
      </w:r>
    </w:p>
    <w:p w14:paraId="7BD1D057" w14:textId="4A5FB361" w:rsidR="0009231B" w:rsidRPr="0089630F" w:rsidRDefault="76483AD1" w:rsidP="0031451A">
      <w:pPr>
        <w:pStyle w:val="ListParagraph"/>
        <w:numPr>
          <w:ilvl w:val="1"/>
          <w:numId w:val="1"/>
        </w:numPr>
        <w:spacing w:before="120" w:after="120"/>
        <w:ind w:left="426" w:hanging="426"/>
        <w:contextualSpacing w:val="0"/>
        <w:jc w:val="both"/>
        <w:rPr>
          <w:lang w:val="en-GB"/>
        </w:rPr>
      </w:pPr>
      <w:r w:rsidRPr="0089630F">
        <w:rPr>
          <w:lang w:val="en-GB"/>
        </w:rPr>
        <w:t xml:space="preserve">As both a retrospective and prospective exercise, </w:t>
      </w:r>
      <w:r w:rsidR="7B76078C" w:rsidRPr="0089630F">
        <w:rPr>
          <w:lang w:val="en-GB"/>
        </w:rPr>
        <w:t>consultations</w:t>
      </w:r>
      <w:r w:rsidR="6DE355C9" w:rsidRPr="0089630F">
        <w:rPr>
          <w:lang w:val="en-GB"/>
        </w:rPr>
        <w:t xml:space="preserve"> and review</w:t>
      </w:r>
      <w:r w:rsidR="7B76078C" w:rsidRPr="0089630F">
        <w:rPr>
          <w:lang w:val="en-GB"/>
        </w:rPr>
        <w:t xml:space="preserve"> </w:t>
      </w:r>
      <w:r w:rsidR="6DE355C9" w:rsidRPr="0089630F">
        <w:rPr>
          <w:lang w:val="en-GB"/>
        </w:rPr>
        <w:t xml:space="preserve">will allow States </w:t>
      </w:r>
      <w:r w:rsidR="007C1B95" w:rsidRPr="0089630F">
        <w:rPr>
          <w:lang w:val="en-GB"/>
        </w:rPr>
        <w:t xml:space="preserve">and stakeholders </w:t>
      </w:r>
      <w:r w:rsidR="6DE355C9" w:rsidRPr="0089630F">
        <w:rPr>
          <w:lang w:val="en-GB"/>
        </w:rPr>
        <w:t xml:space="preserve">to take stock of the implementation of the Sendai Framework to date, assessing progress made and challenges experienced in preventing and reducing disaster risk, identifying new and emerging issues, as well as changes in context since </w:t>
      </w:r>
      <w:r w:rsidR="00A35390" w:rsidRPr="0089630F">
        <w:rPr>
          <w:lang w:val="en-GB"/>
        </w:rPr>
        <w:t xml:space="preserve">the </w:t>
      </w:r>
      <w:r w:rsidR="2735B57C" w:rsidRPr="0089630F">
        <w:rPr>
          <w:lang w:val="en-GB"/>
        </w:rPr>
        <w:t xml:space="preserve">adoption </w:t>
      </w:r>
      <w:r w:rsidR="00A35390" w:rsidRPr="0089630F">
        <w:rPr>
          <w:lang w:val="en-GB"/>
        </w:rPr>
        <w:t xml:space="preserve">of the Sendai Framework </w:t>
      </w:r>
      <w:r w:rsidR="2735B57C" w:rsidRPr="0089630F">
        <w:rPr>
          <w:lang w:val="en-GB"/>
        </w:rPr>
        <w:t xml:space="preserve">in </w:t>
      </w:r>
      <w:r w:rsidR="6DE355C9" w:rsidRPr="0089630F">
        <w:rPr>
          <w:lang w:val="en-GB"/>
        </w:rPr>
        <w:t xml:space="preserve">2015, generating critical analysis so as to assist countries and stakeholders </w:t>
      </w:r>
      <w:r w:rsidR="56C1D706" w:rsidRPr="0089630F">
        <w:rPr>
          <w:lang w:val="en-GB"/>
        </w:rPr>
        <w:t xml:space="preserve">to </w:t>
      </w:r>
      <w:r w:rsidR="6DE355C9" w:rsidRPr="0089630F">
        <w:rPr>
          <w:lang w:val="en-GB"/>
        </w:rPr>
        <w:t xml:space="preserve">formulate recommendations for prioritised, accelerated and integrated </w:t>
      </w:r>
      <w:r w:rsidR="6DE355C9" w:rsidRPr="00A35BB2">
        <w:rPr>
          <w:lang w:val="en-GB"/>
        </w:rPr>
        <w:t>international</w:t>
      </w:r>
      <w:r w:rsidR="6DE355C9" w:rsidRPr="0089630F">
        <w:rPr>
          <w:lang w:val="en-GB"/>
        </w:rPr>
        <w:t>, national and local cooperation and action in the period 2023 to 2030, and to initiate nascent thinking on possible international arrangements for risk-informed sustainable development beyond 2030.</w:t>
      </w:r>
    </w:p>
    <w:p w14:paraId="0D2BD1BA" w14:textId="53E9DD52" w:rsidR="002A330D" w:rsidRPr="0089630F" w:rsidRDefault="7DE2C506" w:rsidP="0031451A">
      <w:pPr>
        <w:pStyle w:val="ListParagraph"/>
        <w:numPr>
          <w:ilvl w:val="1"/>
          <w:numId w:val="1"/>
        </w:numPr>
        <w:spacing w:before="120" w:after="120"/>
        <w:ind w:left="426" w:hanging="426"/>
        <w:contextualSpacing w:val="0"/>
        <w:jc w:val="both"/>
        <w:rPr>
          <w:lang w:val="en-GB"/>
        </w:rPr>
      </w:pPr>
      <w:r w:rsidRPr="0089630F">
        <w:rPr>
          <w:lang w:val="en-GB"/>
        </w:rPr>
        <w:t>The MTR SF is designed to assist</w:t>
      </w:r>
      <w:r w:rsidR="3E8F2DB0" w:rsidRPr="0089630F">
        <w:rPr>
          <w:lang w:val="en-GB"/>
        </w:rPr>
        <w:t xml:space="preserve"> countries</w:t>
      </w:r>
      <w:r w:rsidR="00E75509" w:rsidRPr="0089630F">
        <w:rPr>
          <w:lang w:val="en-GB"/>
        </w:rPr>
        <w:t xml:space="preserve"> and stakeholders</w:t>
      </w:r>
      <w:r w:rsidR="3E8F2DB0" w:rsidRPr="0089630F">
        <w:rPr>
          <w:lang w:val="en-GB"/>
        </w:rPr>
        <w:t xml:space="preserve"> in making risk-informed and prevention-oriented decisions. </w:t>
      </w:r>
      <w:r w:rsidRPr="0089630F">
        <w:rPr>
          <w:lang w:val="en-GB"/>
        </w:rPr>
        <w:t>It can</w:t>
      </w:r>
      <w:r w:rsidR="3E8F2DB0" w:rsidRPr="0089630F">
        <w:rPr>
          <w:lang w:val="en-GB"/>
        </w:rPr>
        <w:t xml:space="preserve"> help to mobili</w:t>
      </w:r>
      <w:r w:rsidRPr="0089630F">
        <w:rPr>
          <w:lang w:val="en-GB"/>
        </w:rPr>
        <w:t>s</w:t>
      </w:r>
      <w:r w:rsidR="3E8F2DB0" w:rsidRPr="0089630F">
        <w:rPr>
          <w:lang w:val="en-GB"/>
        </w:rPr>
        <w:t>e and direct the necessary means of implementation</w:t>
      </w:r>
      <w:r w:rsidR="00F900A0" w:rsidRPr="0089630F">
        <w:rPr>
          <w:color w:val="000000" w:themeColor="text1"/>
          <w:lang w:val="en-GB"/>
        </w:rPr>
        <w:t>, including partnerships and transdisciplinary collaboration, and support the identification of solution pathways and best practices.</w:t>
      </w:r>
      <w:r w:rsidR="3E8F2DB0" w:rsidRPr="0089630F">
        <w:rPr>
          <w:lang w:val="en-GB"/>
        </w:rPr>
        <w:t xml:space="preserve"> </w:t>
      </w:r>
    </w:p>
    <w:p w14:paraId="4A6DE375" w14:textId="1959B206" w:rsidR="00F2335F" w:rsidRPr="0089630F" w:rsidRDefault="00CD3D71" w:rsidP="0031451A">
      <w:pPr>
        <w:pStyle w:val="ListParagraph"/>
        <w:numPr>
          <w:ilvl w:val="1"/>
          <w:numId w:val="1"/>
        </w:numPr>
        <w:spacing w:before="120" w:after="120"/>
        <w:ind w:left="426" w:hanging="426"/>
        <w:contextualSpacing w:val="0"/>
        <w:jc w:val="both"/>
        <w:rPr>
          <w:lang w:val="en-GB"/>
        </w:rPr>
      </w:pPr>
      <w:r w:rsidRPr="0089630F">
        <w:rPr>
          <w:color w:val="000000" w:themeColor="text1"/>
          <w:lang w:val="en-GB"/>
        </w:rPr>
        <w:t xml:space="preserve">Key to the MTR SF, stakeholder consultations will generate learning and recommendations that are inter alia grounded in lived realities, real world experiences of communities, reflecting specificity of context and recognisant of relationships with and dependencies on natural systems. These will be </w:t>
      </w:r>
      <w:r w:rsidRPr="0089630F">
        <w:rPr>
          <w:color w:val="000000" w:themeColor="text1"/>
          <w:lang w:val="en-GB"/>
        </w:rPr>
        <w:lastRenderedPageBreak/>
        <w:t>evidence informed</w:t>
      </w:r>
      <w:r w:rsidR="000C1DDE">
        <w:rPr>
          <w:rFonts w:ascii="ZWAdobeF" w:hAnsi="ZWAdobeF" w:cs="ZWAdobeF"/>
          <w:sz w:val="2"/>
          <w:szCs w:val="2"/>
          <w:lang w:val="en-GB"/>
        </w:rPr>
        <w:t>1F</w:t>
      </w:r>
      <w:r w:rsidRPr="0089630F">
        <w:rPr>
          <w:color w:val="000000" w:themeColor="text1"/>
          <w:vertAlign w:val="superscript"/>
          <w:lang w:val="en-GB"/>
        </w:rPr>
        <w:footnoteReference w:id="3"/>
      </w:r>
      <w:r w:rsidRPr="0089630F">
        <w:rPr>
          <w:color w:val="000000" w:themeColor="text1"/>
          <w:lang w:val="en-GB"/>
        </w:rPr>
        <w:t xml:space="preserve"> and be developed through an inclusive and accessible process that will apply a gender </w:t>
      </w:r>
      <w:r w:rsidRPr="00012339">
        <w:rPr>
          <w:color w:val="000000" w:themeColor="text1"/>
          <w:lang w:val="en-GB"/>
        </w:rPr>
        <w:t>diversity</w:t>
      </w:r>
      <w:r w:rsidR="0057438B" w:rsidRPr="0057438B">
        <w:rPr>
          <w:color w:val="000000" w:themeColor="text1"/>
          <w:lang w:val="en-GB"/>
        </w:rPr>
        <w:t xml:space="preserve"> </w:t>
      </w:r>
      <w:r w:rsidR="0057438B">
        <w:rPr>
          <w:color w:val="000000" w:themeColor="text1"/>
          <w:lang w:val="en-GB"/>
        </w:rPr>
        <w:t>and equity,</w:t>
      </w:r>
      <w:r w:rsidRPr="0089630F">
        <w:rPr>
          <w:color w:val="000000" w:themeColor="text1"/>
          <w:lang w:val="en-GB"/>
        </w:rPr>
        <w:t xml:space="preserve"> and intergenerational lens.</w:t>
      </w:r>
    </w:p>
    <w:p w14:paraId="067F2886" w14:textId="7D9ACC04" w:rsidR="00F2335F" w:rsidRPr="0089630F" w:rsidRDefault="00E052CD" w:rsidP="0031451A">
      <w:pPr>
        <w:pStyle w:val="ListParagraph"/>
        <w:numPr>
          <w:ilvl w:val="1"/>
          <w:numId w:val="1"/>
        </w:numPr>
        <w:spacing w:before="120" w:after="120"/>
        <w:ind w:left="426" w:hanging="426"/>
        <w:contextualSpacing w:val="0"/>
        <w:jc w:val="both"/>
        <w:rPr>
          <w:lang w:val="en-GB"/>
        </w:rPr>
      </w:pPr>
      <w:r w:rsidRPr="0089630F">
        <w:rPr>
          <w:color w:val="000000" w:themeColor="text1"/>
          <w:lang w:val="en-GB"/>
        </w:rPr>
        <w:t xml:space="preserve">The MTR SF seeks to reinforce the imperative of </w:t>
      </w:r>
      <w:r w:rsidR="00EF70D7" w:rsidRPr="0089630F">
        <w:rPr>
          <w:color w:val="000000" w:themeColor="text1"/>
          <w:lang w:val="en-GB"/>
        </w:rPr>
        <w:t>coherence</w:t>
      </w:r>
      <w:r w:rsidR="009B056B" w:rsidRPr="0089630F">
        <w:rPr>
          <w:color w:val="000000" w:themeColor="text1"/>
          <w:lang w:val="en-GB"/>
        </w:rPr>
        <w:t xml:space="preserve"> and integrated action across the three dimensions of sustainable development</w:t>
      </w:r>
      <w:r w:rsidR="008B7E8B">
        <w:rPr>
          <w:color w:val="000000" w:themeColor="text1"/>
          <w:lang w:val="en-GB"/>
        </w:rPr>
        <w:t xml:space="preserve"> (social, economic, environmental)</w:t>
      </w:r>
      <w:r w:rsidR="009B056B" w:rsidRPr="0089630F">
        <w:rPr>
          <w:color w:val="000000" w:themeColor="text1"/>
          <w:lang w:val="en-GB"/>
        </w:rPr>
        <w:t>, and across various sustainable development frameworks. Thus, the stakeholder consultations and the development of associated inputs and reports, are intended to be undertaken in conjunction with and informed by other global stocktaking and review exercises</w:t>
      </w:r>
      <w:r w:rsidR="00192BF5" w:rsidRPr="0089630F">
        <w:rPr>
          <w:lang w:val="en-GB"/>
        </w:rPr>
        <w:t xml:space="preserve">. </w:t>
      </w:r>
      <w:r w:rsidR="00177823" w:rsidRPr="0089630F">
        <w:rPr>
          <w:lang w:val="en-GB"/>
        </w:rPr>
        <w:t>Stakeholders</w:t>
      </w:r>
      <w:r w:rsidR="00192BF5" w:rsidRPr="0089630F">
        <w:rPr>
          <w:lang w:val="en-GB"/>
        </w:rPr>
        <w:t xml:space="preserve"> are encouraged to draw relevant material from, and provide relevant MTR SF content to, these exercises</w:t>
      </w:r>
      <w:r w:rsidR="00F2335F" w:rsidRPr="0089630F">
        <w:rPr>
          <w:lang w:val="en-GB"/>
        </w:rPr>
        <w:t>– these include but are not restricted to:</w:t>
      </w:r>
      <w:r w:rsidR="005139A4" w:rsidRPr="0089630F">
        <w:rPr>
          <w:lang w:val="en-GB"/>
        </w:rPr>
        <w:t xml:space="preserve"> the </w:t>
      </w:r>
      <w:r w:rsidR="00F2335F" w:rsidRPr="0089630F">
        <w:rPr>
          <w:lang w:val="en-GB"/>
        </w:rPr>
        <w:t xml:space="preserve">stocktakes and </w:t>
      </w:r>
      <w:r w:rsidR="005139A4" w:rsidRPr="0089630F">
        <w:rPr>
          <w:lang w:val="en-GB"/>
        </w:rPr>
        <w:t xml:space="preserve">reviews of the implementation of the 2030 Agenda for Sustainable Development and the </w:t>
      </w:r>
      <w:r w:rsidR="002A3614" w:rsidRPr="0089630F">
        <w:rPr>
          <w:lang w:val="en-GB"/>
        </w:rPr>
        <w:t xml:space="preserve">Paris Agreement, </w:t>
      </w:r>
      <w:r w:rsidR="00BD43DD" w:rsidRPr="0089630F">
        <w:rPr>
          <w:lang w:val="en-GB"/>
        </w:rPr>
        <w:t xml:space="preserve">the Addis Ababa Action Agenda, </w:t>
      </w:r>
      <w:r w:rsidR="002A3614" w:rsidRPr="0089630F">
        <w:rPr>
          <w:lang w:val="en-GB"/>
        </w:rPr>
        <w:t xml:space="preserve">the Midterm comprehensive review of the implementation of the International </w:t>
      </w:r>
      <w:r w:rsidR="00A70A53" w:rsidRPr="0089630F">
        <w:rPr>
          <w:lang w:val="en-GB"/>
        </w:rPr>
        <w:t>Decade for Action, “Water for Sustainable Development</w:t>
      </w:r>
      <w:r w:rsidR="00203213" w:rsidRPr="0089630F">
        <w:rPr>
          <w:lang w:val="en-GB"/>
        </w:rPr>
        <w:t>”</w:t>
      </w:r>
      <w:r w:rsidR="00A70A53" w:rsidRPr="0089630F">
        <w:rPr>
          <w:lang w:val="en-GB"/>
        </w:rPr>
        <w:t xml:space="preserve"> 2018-2028</w:t>
      </w:r>
      <w:r w:rsidR="00C848ED" w:rsidRPr="0089630F">
        <w:rPr>
          <w:lang w:val="en-GB"/>
        </w:rPr>
        <w:t xml:space="preserve">, </w:t>
      </w:r>
      <w:r w:rsidR="00BA7D72" w:rsidRPr="0089630F">
        <w:rPr>
          <w:lang w:val="en-GB"/>
        </w:rPr>
        <w:t>the Convention on Biological Diversity, the Convention to Combat Desertification, the New Urban Agenda</w:t>
      </w:r>
      <w:r w:rsidR="007162DD" w:rsidRPr="0089630F">
        <w:rPr>
          <w:lang w:val="en-GB"/>
        </w:rPr>
        <w:t>, the Global Compact for Migration</w:t>
      </w:r>
      <w:r w:rsidR="00BA7D72" w:rsidRPr="0089630F">
        <w:rPr>
          <w:lang w:val="en-GB"/>
        </w:rPr>
        <w:t xml:space="preserve"> amongst others</w:t>
      </w:r>
      <w:r w:rsidR="009470E7" w:rsidRPr="0089630F">
        <w:rPr>
          <w:lang w:val="en-GB"/>
        </w:rPr>
        <w:t>.</w:t>
      </w:r>
      <w:r w:rsidR="00834F6B" w:rsidRPr="0089630F">
        <w:rPr>
          <w:lang w:val="en-GB"/>
        </w:rPr>
        <w:t xml:space="preserve"> </w:t>
      </w:r>
    </w:p>
    <w:p w14:paraId="6BF4D4E0" w14:textId="53992761" w:rsidR="002A330D" w:rsidRPr="0089630F" w:rsidRDefault="005C76E5" w:rsidP="0031451A">
      <w:pPr>
        <w:pStyle w:val="ListParagraph"/>
        <w:numPr>
          <w:ilvl w:val="1"/>
          <w:numId w:val="1"/>
        </w:numPr>
        <w:spacing w:before="120" w:after="120"/>
        <w:ind w:left="426" w:hanging="426"/>
        <w:contextualSpacing w:val="0"/>
        <w:jc w:val="both"/>
        <w:rPr>
          <w:lang w:val="en-GB"/>
        </w:rPr>
      </w:pPr>
      <w:r w:rsidRPr="0089630F">
        <w:rPr>
          <w:lang w:val="en-GB"/>
        </w:rPr>
        <w:t>In so doing</w:t>
      </w:r>
      <w:r w:rsidR="009979B6" w:rsidRPr="0089630F">
        <w:rPr>
          <w:lang w:val="en-GB"/>
        </w:rPr>
        <w:t xml:space="preserve">, </w:t>
      </w:r>
      <w:r w:rsidR="00E65086" w:rsidRPr="0089630F">
        <w:rPr>
          <w:lang w:val="en-GB"/>
        </w:rPr>
        <w:t>this can assist in</w:t>
      </w:r>
      <w:r w:rsidR="009979B6" w:rsidRPr="0089630F">
        <w:rPr>
          <w:lang w:val="en-GB"/>
        </w:rPr>
        <w:t xml:space="preserve"> </w:t>
      </w:r>
      <w:r w:rsidR="003F44FC" w:rsidRPr="0089630F">
        <w:rPr>
          <w:lang w:val="en-GB"/>
        </w:rPr>
        <w:t>both</w:t>
      </w:r>
      <w:r w:rsidR="0020445F" w:rsidRPr="0089630F">
        <w:rPr>
          <w:lang w:val="en-GB"/>
        </w:rPr>
        <w:t>:</w:t>
      </w:r>
      <w:r w:rsidR="00EF70D7" w:rsidRPr="0089630F">
        <w:rPr>
          <w:color w:val="000000" w:themeColor="text1"/>
          <w:lang w:val="en-GB"/>
        </w:rPr>
        <w:t xml:space="preserve"> a) developing greater coherence in the development of </w:t>
      </w:r>
      <w:r w:rsidR="00EF70D7" w:rsidRPr="003063F1">
        <w:rPr>
          <w:color w:val="000000" w:themeColor="text1"/>
          <w:lang w:val="en-GB"/>
        </w:rPr>
        <w:t>international,</w:t>
      </w:r>
      <w:r w:rsidR="00EF70D7" w:rsidRPr="0089630F">
        <w:rPr>
          <w:color w:val="000000" w:themeColor="text1"/>
          <w:lang w:val="en-GB"/>
        </w:rPr>
        <w:t xml:space="preserve"> regional, national and local cooperation, strategy, policy and implementation, and their operationalisation, and b) reducing the transaction cost and consultation burden on stakeholders of these stocktaking and review exercises.</w:t>
      </w:r>
      <w:r w:rsidR="3E8F2DB0" w:rsidRPr="0089630F">
        <w:rPr>
          <w:lang w:val="en-GB"/>
        </w:rPr>
        <w:t xml:space="preserve"> </w:t>
      </w:r>
    </w:p>
    <w:p w14:paraId="2E17BEC8" w14:textId="6F2E1DF0" w:rsidR="003871AF" w:rsidRPr="0089630F" w:rsidRDefault="00DD06E6" w:rsidP="0031451A">
      <w:pPr>
        <w:pStyle w:val="ListParagraph"/>
        <w:numPr>
          <w:ilvl w:val="1"/>
          <w:numId w:val="1"/>
        </w:numPr>
        <w:spacing w:before="120" w:after="120"/>
        <w:ind w:left="426" w:hanging="426"/>
        <w:contextualSpacing w:val="0"/>
        <w:jc w:val="both"/>
        <w:rPr>
          <w:lang w:val="en-GB"/>
        </w:rPr>
      </w:pPr>
      <w:r w:rsidRPr="0089630F">
        <w:rPr>
          <w:color w:val="000000" w:themeColor="text1"/>
          <w:lang w:val="en-GB"/>
        </w:rPr>
        <w:t xml:space="preserve">Consultations and review should build on existing platforms and processes (including </w:t>
      </w:r>
      <w:r w:rsidRPr="0089630F">
        <w:rPr>
          <w:i/>
          <w:color w:val="000000" w:themeColor="text1"/>
          <w:lang w:val="en-GB"/>
        </w:rPr>
        <w:t>inter alia</w:t>
      </w:r>
      <w:r w:rsidRPr="0089630F">
        <w:rPr>
          <w:color w:val="000000" w:themeColor="text1"/>
          <w:lang w:val="en-GB"/>
        </w:rPr>
        <w:t xml:space="preserve"> in respect of disaster risk reduction, sustainable development, climate change), where these exist, avoid duplication and respond to contextual circumstances, capacities, needs and priorities. They should </w:t>
      </w:r>
      <w:proofErr w:type="gramStart"/>
      <w:r w:rsidRPr="0089630F">
        <w:rPr>
          <w:color w:val="000000" w:themeColor="text1"/>
          <w:lang w:val="en-GB"/>
        </w:rPr>
        <w:t>take into account</w:t>
      </w:r>
      <w:proofErr w:type="gramEnd"/>
      <w:r w:rsidRPr="0089630F">
        <w:rPr>
          <w:color w:val="000000" w:themeColor="text1"/>
          <w:lang w:val="en-GB"/>
        </w:rPr>
        <w:t xml:space="preserve"> emerging issues and the development of new knowledge, approaches and methodologies.</w:t>
      </w:r>
      <w:r w:rsidR="3E8F2DB0" w:rsidRPr="0089630F">
        <w:rPr>
          <w:lang w:val="en-GB"/>
        </w:rPr>
        <w:t xml:space="preserve"> </w:t>
      </w:r>
    </w:p>
    <w:p w14:paraId="762F801F" w14:textId="62D166EF" w:rsidR="00AE3899" w:rsidRPr="0089630F" w:rsidRDefault="00576F66" w:rsidP="0031451A">
      <w:pPr>
        <w:pStyle w:val="ListParagraph"/>
        <w:numPr>
          <w:ilvl w:val="1"/>
          <w:numId w:val="1"/>
        </w:numPr>
        <w:spacing w:before="120" w:after="120"/>
        <w:ind w:left="426" w:hanging="426"/>
        <w:contextualSpacing w:val="0"/>
        <w:jc w:val="both"/>
        <w:rPr>
          <w:lang w:val="en-GB"/>
        </w:rPr>
      </w:pPr>
      <w:r w:rsidRPr="0089630F">
        <w:rPr>
          <w:color w:val="000000" w:themeColor="text1"/>
          <w:lang w:val="en-GB"/>
        </w:rPr>
        <w:t>The deliberations and outputs of the Global and Regional Platforms for Disaster Risk Reduction and associated thematic and stakeholder consultations, offer important input to the MTR SF. These may be supplemented by inter alia the reviews of, and recommendations for, Regional and Sub-regional Strategies and Plans for disaster risk reduction that inform these platforms.</w:t>
      </w:r>
    </w:p>
    <w:p w14:paraId="178F9F12" w14:textId="77777777" w:rsidR="0089630F" w:rsidRPr="0089630F" w:rsidRDefault="0089630F">
      <w:pPr>
        <w:rPr>
          <w:rFonts w:asciiTheme="majorHAnsi" w:eastAsiaTheme="majorEastAsia" w:hAnsiTheme="majorHAnsi" w:cstheme="majorBidi"/>
          <w:color w:val="C00000"/>
          <w:sz w:val="28"/>
          <w:szCs w:val="28"/>
          <w:lang w:val="en-GB"/>
        </w:rPr>
      </w:pPr>
      <w:r w:rsidRPr="0089630F">
        <w:rPr>
          <w:color w:val="C00000"/>
          <w:sz w:val="28"/>
          <w:szCs w:val="28"/>
          <w:lang w:val="en-GB"/>
        </w:rPr>
        <w:br w:type="page"/>
      </w:r>
    </w:p>
    <w:p w14:paraId="1E42A499" w14:textId="3D0F85DF" w:rsidR="00BD0729" w:rsidRPr="0089630F" w:rsidRDefault="00BD0729" w:rsidP="005D234C">
      <w:pPr>
        <w:pStyle w:val="Heading3"/>
        <w:numPr>
          <w:ilvl w:val="0"/>
          <w:numId w:val="1"/>
        </w:numPr>
        <w:tabs>
          <w:tab w:val="num" w:pos="360"/>
        </w:tabs>
        <w:spacing w:before="360" w:after="120"/>
        <w:ind w:left="357" w:hanging="357"/>
        <w:rPr>
          <w:color w:val="C00000"/>
          <w:sz w:val="28"/>
          <w:szCs w:val="28"/>
        </w:rPr>
      </w:pPr>
      <w:r w:rsidRPr="0089630F">
        <w:rPr>
          <w:color w:val="C00000"/>
          <w:sz w:val="28"/>
          <w:szCs w:val="28"/>
        </w:rPr>
        <w:lastRenderedPageBreak/>
        <w:t>Guiding Principles</w:t>
      </w:r>
    </w:p>
    <w:p w14:paraId="6BDE7398" w14:textId="70B3C7FF" w:rsidR="00BD0729" w:rsidRPr="0089630F" w:rsidRDefault="00102AF9" w:rsidP="0031451A">
      <w:pPr>
        <w:pStyle w:val="ListParagraph"/>
        <w:numPr>
          <w:ilvl w:val="1"/>
          <w:numId w:val="1"/>
        </w:numPr>
        <w:spacing w:before="120" w:after="120"/>
        <w:ind w:left="426" w:hanging="426"/>
        <w:contextualSpacing w:val="0"/>
        <w:jc w:val="both"/>
        <w:rPr>
          <w:lang w:val="en-GB"/>
        </w:rPr>
      </w:pPr>
      <w:r w:rsidRPr="0089630F">
        <w:rPr>
          <w:bCs/>
          <w:color w:val="000000" w:themeColor="text1"/>
          <w:lang w:val="en-GB"/>
        </w:rPr>
        <w:t>In paragraph 19 of the Sendai Framework (SF), Member States identified the Guiding Principles for its implementation and for the achievement of the outcome and goal.</w:t>
      </w:r>
    </w:p>
    <w:p w14:paraId="2D5FD68E" w14:textId="210F4E99" w:rsidR="00554ED7" w:rsidRPr="0089630F" w:rsidRDefault="002655C3" w:rsidP="0031451A">
      <w:pPr>
        <w:pStyle w:val="ListParagraph"/>
        <w:numPr>
          <w:ilvl w:val="1"/>
          <w:numId w:val="1"/>
        </w:numPr>
        <w:spacing w:before="120" w:after="120"/>
        <w:ind w:left="426" w:hanging="426"/>
        <w:contextualSpacing w:val="0"/>
        <w:jc w:val="both"/>
        <w:rPr>
          <w:rFonts w:ascii="Calibri" w:hAnsi="Calibri" w:cs="Calibri"/>
          <w:lang w:val="en-GB"/>
        </w:rPr>
      </w:pPr>
      <w:r w:rsidRPr="0089630F">
        <w:rPr>
          <w:lang w:val="en-GB"/>
        </w:rPr>
        <w:t>In preparing and conducting stakeholder consultations, as well as in the preparation of inputs, stakeholders are encouraged to examine how the Guiding Principles are being upheld, the gaps and challenges that remain, and how they can be addressed to accelerate and amplify progress</w:t>
      </w:r>
      <w:r w:rsidRPr="0089630F">
        <w:rPr>
          <w:rStyle w:val="FootnoteReference"/>
          <w:lang w:val="en-GB"/>
        </w:rPr>
        <w:t xml:space="preserve"> </w:t>
      </w:r>
      <w:r w:rsidR="000C1DDE">
        <w:rPr>
          <w:rFonts w:ascii="ZWAdobeF" w:hAnsi="ZWAdobeF" w:cs="ZWAdobeF"/>
          <w:sz w:val="2"/>
          <w:szCs w:val="2"/>
          <w:lang w:val="en-GB"/>
        </w:rPr>
        <w:t>2F</w:t>
      </w:r>
      <w:r w:rsidRPr="0089630F">
        <w:rPr>
          <w:rStyle w:val="FootnoteReference"/>
          <w:lang w:val="en-GB"/>
        </w:rPr>
        <w:footnoteReference w:id="4"/>
      </w:r>
      <w:r w:rsidRPr="0089630F">
        <w:rPr>
          <w:bCs/>
          <w:color w:val="000000" w:themeColor="text1"/>
          <w:lang w:val="en-GB"/>
        </w:rPr>
        <w:t>:</w:t>
      </w:r>
    </w:p>
    <w:p w14:paraId="7AE614C0" w14:textId="5993D124" w:rsidR="00AE3899" w:rsidRPr="0089630F" w:rsidRDefault="5B3D87CF" w:rsidP="000C1DDE">
      <w:pPr>
        <w:pStyle w:val="ListParagraph"/>
        <w:widowControl w:val="0"/>
        <w:numPr>
          <w:ilvl w:val="0"/>
          <w:numId w:val="2"/>
        </w:numPr>
        <w:tabs>
          <w:tab w:val="left" w:pos="2162"/>
        </w:tabs>
        <w:autoSpaceDE w:val="0"/>
        <w:autoSpaceDN w:val="0"/>
        <w:spacing w:before="120" w:after="120" w:line="240" w:lineRule="auto"/>
        <w:ind w:left="714" w:right="6" w:hanging="357"/>
        <w:contextualSpacing w:val="0"/>
        <w:jc w:val="both"/>
        <w:rPr>
          <w:rFonts w:ascii="Calibri" w:hAnsi="Calibri" w:cs="Calibri"/>
          <w:lang w:val="en-GB"/>
        </w:rPr>
      </w:pPr>
      <w:r w:rsidRPr="0089630F">
        <w:rPr>
          <w:rFonts w:ascii="Calibri" w:hAnsi="Calibri" w:cs="Calibri"/>
          <w:color w:val="231F20"/>
          <w:lang w:val="en-GB"/>
        </w:rPr>
        <w:t>Each State has the primary responsibility to prevent and reduce disaster risk, including</w:t>
      </w:r>
      <w:r w:rsidRPr="0089630F">
        <w:rPr>
          <w:rFonts w:ascii="Calibri" w:hAnsi="Calibri" w:cs="Calibri"/>
          <w:color w:val="231F20"/>
          <w:spacing w:val="1"/>
          <w:lang w:val="en-GB"/>
        </w:rPr>
        <w:t xml:space="preserve"> </w:t>
      </w:r>
      <w:r w:rsidRPr="0089630F">
        <w:rPr>
          <w:rFonts w:ascii="Calibri" w:hAnsi="Calibri" w:cs="Calibri"/>
          <w:color w:val="231F20"/>
          <w:lang w:val="en-GB"/>
        </w:rPr>
        <w:t xml:space="preserve">through </w:t>
      </w:r>
      <w:r w:rsidR="0090270D">
        <w:rPr>
          <w:rFonts w:ascii="Calibri" w:hAnsi="Calibri" w:cs="Calibri"/>
          <w:color w:val="231F20"/>
          <w:lang w:val="en-GB"/>
        </w:rPr>
        <w:t>global</w:t>
      </w:r>
      <w:r w:rsidRPr="0090270D">
        <w:rPr>
          <w:rFonts w:ascii="Calibri" w:hAnsi="Calibri" w:cs="Calibri"/>
          <w:color w:val="231F20"/>
          <w:lang w:val="en-GB"/>
        </w:rPr>
        <w:t>,</w:t>
      </w:r>
      <w:r w:rsidRPr="0089630F">
        <w:rPr>
          <w:rFonts w:ascii="Calibri" w:hAnsi="Calibri" w:cs="Calibri"/>
          <w:color w:val="231F20"/>
          <w:lang w:val="en-GB"/>
        </w:rPr>
        <w:t xml:space="preserve"> regional, subregional,</w:t>
      </w:r>
      <w:r w:rsidR="5FE7BA69" w:rsidRPr="0089630F">
        <w:rPr>
          <w:rFonts w:ascii="Calibri" w:hAnsi="Calibri" w:cs="Calibri"/>
          <w:color w:val="231F20"/>
          <w:lang w:val="en-GB"/>
        </w:rPr>
        <w:t xml:space="preserve"> </w:t>
      </w:r>
      <w:r w:rsidRPr="0089630F">
        <w:rPr>
          <w:rFonts w:ascii="Calibri" w:hAnsi="Calibri" w:cs="Calibri"/>
          <w:color w:val="231F20"/>
          <w:lang w:val="en-GB"/>
        </w:rPr>
        <w:t>transboundary and bilateral cooperation.</w:t>
      </w:r>
      <w:r w:rsidRPr="0089630F">
        <w:rPr>
          <w:rFonts w:ascii="Calibri" w:hAnsi="Calibri" w:cs="Calibri"/>
          <w:color w:val="231F20"/>
          <w:spacing w:val="1"/>
          <w:lang w:val="en-GB"/>
        </w:rPr>
        <w:t xml:space="preserve"> </w:t>
      </w:r>
      <w:r w:rsidRPr="0089630F">
        <w:rPr>
          <w:rFonts w:ascii="Calibri" w:hAnsi="Calibri" w:cs="Calibri"/>
          <w:color w:val="231F20"/>
          <w:lang w:val="en-GB"/>
        </w:rPr>
        <w:t>The</w:t>
      </w:r>
      <w:r w:rsidRPr="0089630F">
        <w:rPr>
          <w:rFonts w:ascii="Calibri" w:hAnsi="Calibri" w:cs="Calibri"/>
          <w:color w:val="231F20"/>
          <w:spacing w:val="-9"/>
          <w:lang w:val="en-GB"/>
        </w:rPr>
        <w:t xml:space="preserve"> </w:t>
      </w:r>
      <w:r w:rsidRPr="0089630F">
        <w:rPr>
          <w:rFonts w:ascii="Calibri" w:hAnsi="Calibri" w:cs="Calibri"/>
          <w:color w:val="231F20"/>
          <w:lang w:val="en-GB"/>
        </w:rPr>
        <w:t>reduction</w:t>
      </w:r>
      <w:r w:rsidRPr="0089630F">
        <w:rPr>
          <w:rFonts w:ascii="Calibri" w:hAnsi="Calibri" w:cs="Calibri"/>
          <w:color w:val="231F20"/>
          <w:spacing w:val="-8"/>
          <w:lang w:val="en-GB"/>
        </w:rPr>
        <w:t xml:space="preserve"> </w:t>
      </w:r>
      <w:r w:rsidRPr="0089630F">
        <w:rPr>
          <w:rFonts w:ascii="Calibri" w:hAnsi="Calibri" w:cs="Calibri"/>
          <w:color w:val="231F20"/>
          <w:lang w:val="en-GB"/>
        </w:rPr>
        <w:t>of</w:t>
      </w:r>
      <w:r w:rsidRPr="0089630F">
        <w:rPr>
          <w:rFonts w:ascii="Calibri" w:hAnsi="Calibri" w:cs="Calibri"/>
          <w:color w:val="231F20"/>
          <w:spacing w:val="-8"/>
          <w:lang w:val="en-GB"/>
        </w:rPr>
        <w:t xml:space="preserve"> </w:t>
      </w:r>
      <w:r w:rsidRPr="0089630F">
        <w:rPr>
          <w:rFonts w:ascii="Calibri" w:hAnsi="Calibri" w:cs="Calibri"/>
          <w:color w:val="231F20"/>
          <w:lang w:val="en-GB"/>
        </w:rPr>
        <w:t>disaster</w:t>
      </w:r>
      <w:r w:rsidRPr="0089630F">
        <w:rPr>
          <w:rFonts w:ascii="Calibri" w:hAnsi="Calibri" w:cs="Calibri"/>
          <w:color w:val="231F20"/>
          <w:spacing w:val="-8"/>
          <w:lang w:val="en-GB"/>
        </w:rPr>
        <w:t xml:space="preserve"> </w:t>
      </w:r>
      <w:r w:rsidRPr="0089630F">
        <w:rPr>
          <w:rFonts w:ascii="Calibri" w:hAnsi="Calibri" w:cs="Calibri"/>
          <w:color w:val="231F20"/>
          <w:lang w:val="en-GB"/>
        </w:rPr>
        <w:t>risk</w:t>
      </w:r>
      <w:r w:rsidRPr="0089630F">
        <w:rPr>
          <w:rFonts w:ascii="Calibri" w:hAnsi="Calibri" w:cs="Calibri"/>
          <w:color w:val="231F20"/>
          <w:spacing w:val="-9"/>
          <w:lang w:val="en-GB"/>
        </w:rPr>
        <w:t xml:space="preserve"> </w:t>
      </w:r>
      <w:r w:rsidRPr="0089630F">
        <w:rPr>
          <w:rFonts w:ascii="Calibri" w:hAnsi="Calibri" w:cs="Calibri"/>
          <w:color w:val="231F20"/>
          <w:lang w:val="en-GB"/>
        </w:rPr>
        <w:t>is</w:t>
      </w:r>
      <w:r w:rsidRPr="0089630F">
        <w:rPr>
          <w:rFonts w:ascii="Calibri" w:hAnsi="Calibri" w:cs="Calibri"/>
          <w:color w:val="231F20"/>
          <w:spacing w:val="-8"/>
          <w:lang w:val="en-GB"/>
        </w:rPr>
        <w:t xml:space="preserve"> </w:t>
      </w:r>
      <w:r w:rsidRPr="0089630F">
        <w:rPr>
          <w:rFonts w:ascii="Calibri" w:hAnsi="Calibri" w:cs="Calibri"/>
          <w:color w:val="231F20"/>
          <w:lang w:val="en-GB"/>
        </w:rPr>
        <w:t>a</w:t>
      </w:r>
      <w:r w:rsidRPr="0089630F">
        <w:rPr>
          <w:rFonts w:ascii="Calibri" w:hAnsi="Calibri" w:cs="Calibri"/>
          <w:color w:val="231F20"/>
          <w:spacing w:val="-8"/>
          <w:lang w:val="en-GB"/>
        </w:rPr>
        <w:t xml:space="preserve"> </w:t>
      </w:r>
      <w:r w:rsidRPr="0089630F">
        <w:rPr>
          <w:rFonts w:ascii="Calibri" w:hAnsi="Calibri" w:cs="Calibri"/>
          <w:color w:val="231F20"/>
          <w:lang w:val="en-GB"/>
        </w:rPr>
        <w:t>common</w:t>
      </w:r>
      <w:r w:rsidRPr="0089630F">
        <w:rPr>
          <w:rFonts w:ascii="Calibri" w:hAnsi="Calibri" w:cs="Calibri"/>
          <w:color w:val="231F20"/>
          <w:spacing w:val="-8"/>
          <w:lang w:val="en-GB"/>
        </w:rPr>
        <w:t xml:space="preserve"> </w:t>
      </w:r>
      <w:r w:rsidRPr="0089630F">
        <w:rPr>
          <w:rFonts w:ascii="Calibri" w:hAnsi="Calibri" w:cs="Calibri"/>
          <w:color w:val="231F20"/>
          <w:lang w:val="en-GB"/>
        </w:rPr>
        <w:t>concern</w:t>
      </w:r>
      <w:r w:rsidRPr="0089630F">
        <w:rPr>
          <w:rFonts w:ascii="Calibri" w:hAnsi="Calibri" w:cs="Calibri"/>
          <w:color w:val="231F20"/>
          <w:spacing w:val="-9"/>
          <w:lang w:val="en-GB"/>
        </w:rPr>
        <w:t xml:space="preserve"> </w:t>
      </w:r>
      <w:r w:rsidRPr="0089630F">
        <w:rPr>
          <w:rFonts w:ascii="Calibri" w:hAnsi="Calibri" w:cs="Calibri"/>
          <w:color w:val="231F20"/>
          <w:lang w:val="en-GB"/>
        </w:rPr>
        <w:t>for</w:t>
      </w:r>
      <w:r w:rsidRPr="0089630F">
        <w:rPr>
          <w:rFonts w:ascii="Calibri" w:hAnsi="Calibri" w:cs="Calibri"/>
          <w:color w:val="231F20"/>
          <w:spacing w:val="-8"/>
          <w:lang w:val="en-GB"/>
        </w:rPr>
        <w:t xml:space="preserve"> </w:t>
      </w:r>
      <w:r w:rsidRPr="0089630F">
        <w:rPr>
          <w:rFonts w:ascii="Calibri" w:hAnsi="Calibri" w:cs="Calibri"/>
          <w:color w:val="231F20"/>
          <w:lang w:val="en-GB"/>
        </w:rPr>
        <w:t>all</w:t>
      </w:r>
      <w:r w:rsidRPr="0089630F">
        <w:rPr>
          <w:rFonts w:ascii="Calibri" w:hAnsi="Calibri" w:cs="Calibri"/>
          <w:color w:val="231F20"/>
          <w:spacing w:val="-8"/>
          <w:lang w:val="en-GB"/>
        </w:rPr>
        <w:t xml:space="preserve"> </w:t>
      </w:r>
      <w:r w:rsidRPr="0089630F">
        <w:rPr>
          <w:rFonts w:ascii="Calibri" w:hAnsi="Calibri" w:cs="Calibri"/>
          <w:color w:val="231F20"/>
          <w:lang w:val="en-GB"/>
        </w:rPr>
        <w:t>States</w:t>
      </w:r>
      <w:r w:rsidRPr="0089630F">
        <w:rPr>
          <w:rFonts w:ascii="Calibri" w:hAnsi="Calibri" w:cs="Calibri"/>
          <w:color w:val="231F20"/>
          <w:spacing w:val="-8"/>
          <w:lang w:val="en-GB"/>
        </w:rPr>
        <w:t xml:space="preserve"> </w:t>
      </w:r>
      <w:r w:rsidRPr="0089630F">
        <w:rPr>
          <w:rFonts w:ascii="Calibri" w:hAnsi="Calibri" w:cs="Calibri"/>
          <w:color w:val="231F20"/>
          <w:lang w:val="en-GB"/>
        </w:rPr>
        <w:t>and</w:t>
      </w:r>
      <w:r w:rsidRPr="0089630F">
        <w:rPr>
          <w:rFonts w:ascii="Calibri" w:hAnsi="Calibri" w:cs="Calibri"/>
          <w:color w:val="231F20"/>
          <w:spacing w:val="-8"/>
          <w:lang w:val="en-GB"/>
        </w:rPr>
        <w:t xml:space="preserve"> </w:t>
      </w:r>
      <w:r w:rsidRPr="0089630F">
        <w:rPr>
          <w:rFonts w:ascii="Calibri" w:hAnsi="Calibri" w:cs="Calibri"/>
          <w:color w:val="231F20"/>
          <w:lang w:val="en-GB"/>
        </w:rPr>
        <w:t>the</w:t>
      </w:r>
      <w:r w:rsidRPr="0089630F">
        <w:rPr>
          <w:rFonts w:ascii="Calibri" w:hAnsi="Calibri" w:cs="Calibri"/>
          <w:color w:val="231F20"/>
          <w:spacing w:val="-9"/>
          <w:lang w:val="en-GB"/>
        </w:rPr>
        <w:t xml:space="preserve"> </w:t>
      </w:r>
      <w:r w:rsidRPr="0089630F">
        <w:rPr>
          <w:rFonts w:ascii="Calibri" w:hAnsi="Calibri" w:cs="Calibri"/>
          <w:color w:val="231F20"/>
          <w:lang w:val="en-GB"/>
        </w:rPr>
        <w:t>extent</w:t>
      </w:r>
      <w:r w:rsidRPr="0089630F">
        <w:rPr>
          <w:rFonts w:ascii="Calibri" w:hAnsi="Calibri" w:cs="Calibri"/>
          <w:color w:val="231F20"/>
          <w:spacing w:val="-8"/>
          <w:lang w:val="en-GB"/>
        </w:rPr>
        <w:t xml:space="preserve"> </w:t>
      </w:r>
      <w:r w:rsidRPr="0089630F">
        <w:rPr>
          <w:rFonts w:ascii="Calibri" w:hAnsi="Calibri" w:cs="Calibri"/>
          <w:color w:val="231F20"/>
          <w:lang w:val="en-GB"/>
        </w:rPr>
        <w:t>to</w:t>
      </w:r>
      <w:r w:rsidR="009F3B42" w:rsidRPr="0089630F">
        <w:rPr>
          <w:rFonts w:ascii="Calibri" w:hAnsi="Calibri" w:cs="Calibri"/>
          <w:color w:val="231F20"/>
          <w:lang w:val="en-GB"/>
        </w:rPr>
        <w:t xml:space="preserve"> which developing countries are able</w:t>
      </w:r>
      <w:r w:rsidRPr="0089630F">
        <w:rPr>
          <w:rFonts w:ascii="Calibri" w:hAnsi="Calibri" w:cs="Calibri"/>
          <w:color w:val="231F20"/>
          <w:lang w:val="en-GB"/>
        </w:rPr>
        <w:t xml:space="preserve"> to effectively enhance and implement national disaster</w:t>
      </w:r>
      <w:r w:rsidRPr="0089630F">
        <w:rPr>
          <w:rFonts w:ascii="Calibri" w:hAnsi="Calibri" w:cs="Calibri"/>
          <w:color w:val="231F20"/>
          <w:spacing w:val="1"/>
          <w:lang w:val="en-GB"/>
        </w:rPr>
        <w:t xml:space="preserve"> </w:t>
      </w:r>
      <w:r w:rsidRPr="0089630F">
        <w:rPr>
          <w:rFonts w:ascii="Calibri" w:hAnsi="Calibri" w:cs="Calibri"/>
          <w:color w:val="231F20"/>
          <w:lang w:val="en-GB"/>
        </w:rPr>
        <w:t>risk</w:t>
      </w:r>
      <w:r w:rsidRPr="0089630F">
        <w:rPr>
          <w:rFonts w:ascii="Calibri" w:hAnsi="Calibri" w:cs="Calibri"/>
          <w:color w:val="231F20"/>
          <w:spacing w:val="-9"/>
          <w:lang w:val="en-GB"/>
        </w:rPr>
        <w:t xml:space="preserve"> </w:t>
      </w:r>
      <w:r w:rsidRPr="0089630F">
        <w:rPr>
          <w:rFonts w:ascii="Calibri" w:hAnsi="Calibri" w:cs="Calibri"/>
          <w:color w:val="231F20"/>
          <w:lang w:val="en-GB"/>
        </w:rPr>
        <w:t>reduction</w:t>
      </w:r>
      <w:r w:rsidRPr="0089630F">
        <w:rPr>
          <w:rFonts w:ascii="Calibri" w:hAnsi="Calibri" w:cs="Calibri"/>
          <w:color w:val="231F20"/>
          <w:spacing w:val="-9"/>
          <w:lang w:val="en-GB"/>
        </w:rPr>
        <w:t xml:space="preserve"> </w:t>
      </w:r>
      <w:r w:rsidRPr="0089630F">
        <w:rPr>
          <w:rFonts w:ascii="Calibri" w:hAnsi="Calibri" w:cs="Calibri"/>
          <w:color w:val="231F20"/>
          <w:lang w:val="en-GB"/>
        </w:rPr>
        <w:t>policies</w:t>
      </w:r>
      <w:r w:rsidRPr="0089630F">
        <w:rPr>
          <w:rFonts w:ascii="Calibri" w:hAnsi="Calibri" w:cs="Calibri"/>
          <w:color w:val="231F20"/>
          <w:spacing w:val="-8"/>
          <w:lang w:val="en-GB"/>
        </w:rPr>
        <w:t xml:space="preserve"> </w:t>
      </w:r>
      <w:r w:rsidRPr="0089630F">
        <w:rPr>
          <w:rFonts w:ascii="Calibri" w:hAnsi="Calibri" w:cs="Calibri"/>
          <w:color w:val="231F20"/>
          <w:lang w:val="en-GB"/>
        </w:rPr>
        <w:t>and</w:t>
      </w:r>
      <w:r w:rsidRPr="0089630F">
        <w:rPr>
          <w:rFonts w:ascii="Calibri" w:hAnsi="Calibri" w:cs="Calibri"/>
          <w:color w:val="231F20"/>
          <w:spacing w:val="-9"/>
          <w:lang w:val="en-GB"/>
        </w:rPr>
        <w:t xml:space="preserve"> </w:t>
      </w:r>
      <w:r w:rsidRPr="0089630F">
        <w:rPr>
          <w:rFonts w:ascii="Calibri" w:hAnsi="Calibri" w:cs="Calibri"/>
          <w:color w:val="231F20"/>
          <w:lang w:val="en-GB"/>
        </w:rPr>
        <w:t>measures</w:t>
      </w:r>
      <w:r w:rsidRPr="0089630F">
        <w:rPr>
          <w:rFonts w:ascii="Calibri" w:hAnsi="Calibri" w:cs="Calibri"/>
          <w:color w:val="231F20"/>
          <w:spacing w:val="-8"/>
          <w:lang w:val="en-GB"/>
        </w:rPr>
        <w:t xml:space="preserve"> </w:t>
      </w:r>
      <w:r w:rsidRPr="0089630F">
        <w:rPr>
          <w:rFonts w:ascii="Calibri" w:hAnsi="Calibri" w:cs="Calibri"/>
          <w:color w:val="231F20"/>
          <w:lang w:val="en-GB"/>
        </w:rPr>
        <w:t>in</w:t>
      </w:r>
      <w:r w:rsidRPr="0089630F">
        <w:rPr>
          <w:rFonts w:ascii="Calibri" w:hAnsi="Calibri" w:cs="Calibri"/>
          <w:color w:val="231F20"/>
          <w:spacing w:val="-9"/>
          <w:lang w:val="en-GB"/>
        </w:rPr>
        <w:t xml:space="preserve"> </w:t>
      </w:r>
      <w:r w:rsidRPr="0089630F">
        <w:rPr>
          <w:rFonts w:ascii="Calibri" w:hAnsi="Calibri" w:cs="Calibri"/>
          <w:color w:val="231F20"/>
          <w:lang w:val="en-GB"/>
        </w:rPr>
        <w:t>the</w:t>
      </w:r>
      <w:r w:rsidRPr="0089630F">
        <w:rPr>
          <w:rFonts w:ascii="Calibri" w:hAnsi="Calibri" w:cs="Calibri"/>
          <w:color w:val="231F20"/>
          <w:spacing w:val="-8"/>
          <w:lang w:val="en-GB"/>
        </w:rPr>
        <w:t xml:space="preserve"> </w:t>
      </w:r>
      <w:r w:rsidRPr="0089630F">
        <w:rPr>
          <w:rFonts w:ascii="Calibri" w:hAnsi="Calibri" w:cs="Calibri"/>
          <w:color w:val="231F20"/>
          <w:lang w:val="en-GB"/>
        </w:rPr>
        <w:t>context</w:t>
      </w:r>
      <w:r w:rsidRPr="0089630F">
        <w:rPr>
          <w:rFonts w:ascii="Calibri" w:hAnsi="Calibri" w:cs="Calibri"/>
          <w:color w:val="231F20"/>
          <w:spacing w:val="-9"/>
          <w:lang w:val="en-GB"/>
        </w:rPr>
        <w:t xml:space="preserve"> </w:t>
      </w:r>
      <w:r w:rsidRPr="0089630F">
        <w:rPr>
          <w:rFonts w:ascii="Calibri" w:hAnsi="Calibri" w:cs="Calibri"/>
          <w:color w:val="231F20"/>
          <w:lang w:val="en-GB"/>
        </w:rPr>
        <w:t>of</w:t>
      </w:r>
      <w:r w:rsidRPr="0089630F">
        <w:rPr>
          <w:rFonts w:ascii="Calibri" w:hAnsi="Calibri" w:cs="Calibri"/>
          <w:color w:val="231F20"/>
          <w:spacing w:val="-8"/>
          <w:lang w:val="en-GB"/>
        </w:rPr>
        <w:t xml:space="preserve"> </w:t>
      </w:r>
      <w:r w:rsidRPr="0089630F">
        <w:rPr>
          <w:rFonts w:ascii="Calibri" w:hAnsi="Calibri" w:cs="Calibri"/>
          <w:color w:val="231F20"/>
          <w:lang w:val="en-GB"/>
        </w:rPr>
        <w:t>their</w:t>
      </w:r>
      <w:r w:rsidRPr="0089630F">
        <w:rPr>
          <w:rFonts w:ascii="Calibri" w:hAnsi="Calibri" w:cs="Calibri"/>
          <w:color w:val="231F20"/>
          <w:spacing w:val="-9"/>
          <w:lang w:val="en-GB"/>
        </w:rPr>
        <w:t xml:space="preserve"> </w:t>
      </w:r>
      <w:r w:rsidRPr="0089630F">
        <w:rPr>
          <w:rFonts w:ascii="Calibri" w:hAnsi="Calibri" w:cs="Calibri"/>
          <w:color w:val="231F20"/>
          <w:lang w:val="en-GB"/>
        </w:rPr>
        <w:t>respective</w:t>
      </w:r>
      <w:r w:rsidRPr="0089630F">
        <w:rPr>
          <w:rFonts w:ascii="Calibri" w:hAnsi="Calibri" w:cs="Calibri"/>
          <w:color w:val="231F20"/>
          <w:spacing w:val="-9"/>
          <w:lang w:val="en-GB"/>
        </w:rPr>
        <w:t xml:space="preserve"> </w:t>
      </w:r>
      <w:r w:rsidRPr="0089630F">
        <w:rPr>
          <w:rFonts w:ascii="Calibri" w:hAnsi="Calibri" w:cs="Calibri"/>
          <w:color w:val="231F20"/>
          <w:lang w:val="en-GB"/>
        </w:rPr>
        <w:t>circumstances</w:t>
      </w:r>
      <w:r w:rsidRPr="0089630F">
        <w:rPr>
          <w:rFonts w:ascii="Calibri" w:hAnsi="Calibri" w:cs="Calibri"/>
          <w:color w:val="231F20"/>
          <w:spacing w:val="-8"/>
          <w:lang w:val="en-GB"/>
        </w:rPr>
        <w:t xml:space="preserve"> </w:t>
      </w:r>
      <w:r w:rsidRPr="0089630F">
        <w:rPr>
          <w:rFonts w:ascii="Calibri" w:hAnsi="Calibri" w:cs="Calibri"/>
          <w:color w:val="231F20"/>
          <w:lang w:val="en-GB"/>
        </w:rPr>
        <w:t>and</w:t>
      </w:r>
      <w:r w:rsidRPr="0089630F">
        <w:rPr>
          <w:rFonts w:ascii="Calibri" w:hAnsi="Calibri" w:cs="Calibri"/>
          <w:color w:val="231F20"/>
          <w:spacing w:val="-54"/>
          <w:lang w:val="en-GB"/>
        </w:rPr>
        <w:t xml:space="preserve"> </w:t>
      </w:r>
      <w:r w:rsidRPr="0089630F">
        <w:rPr>
          <w:rFonts w:ascii="Calibri" w:hAnsi="Calibri" w:cs="Calibri"/>
          <w:color w:val="231F20"/>
          <w:lang w:val="en-GB"/>
        </w:rPr>
        <w:t>capabilities can be further enhanced through the provision of sustainable international</w:t>
      </w:r>
      <w:r w:rsidRPr="0089630F">
        <w:rPr>
          <w:rFonts w:ascii="Calibri" w:hAnsi="Calibri" w:cs="Calibri"/>
          <w:color w:val="231F20"/>
          <w:spacing w:val="1"/>
          <w:lang w:val="en-GB"/>
        </w:rPr>
        <w:t xml:space="preserve"> </w:t>
      </w:r>
      <w:proofErr w:type="gramStart"/>
      <w:r w:rsidRPr="0089630F">
        <w:rPr>
          <w:rFonts w:ascii="Calibri" w:hAnsi="Calibri" w:cs="Calibri"/>
          <w:color w:val="231F20"/>
          <w:lang w:val="en-GB"/>
        </w:rPr>
        <w:t>cooperation;</w:t>
      </w:r>
      <w:proofErr w:type="gramEnd"/>
    </w:p>
    <w:p w14:paraId="3BFC70E1" w14:textId="6F4A6016" w:rsidR="00AE3899" w:rsidRPr="0089630F" w:rsidRDefault="00AE3899" w:rsidP="000C1DDE">
      <w:pPr>
        <w:pStyle w:val="ListParagraph"/>
        <w:widowControl w:val="0"/>
        <w:numPr>
          <w:ilvl w:val="0"/>
          <w:numId w:val="2"/>
        </w:numPr>
        <w:tabs>
          <w:tab w:val="left" w:pos="2162"/>
        </w:tabs>
        <w:autoSpaceDE w:val="0"/>
        <w:autoSpaceDN w:val="0"/>
        <w:spacing w:before="120" w:after="120" w:line="240" w:lineRule="auto"/>
        <w:ind w:left="714" w:right="6" w:hanging="357"/>
        <w:contextualSpacing w:val="0"/>
        <w:jc w:val="both"/>
        <w:rPr>
          <w:rFonts w:ascii="Calibri" w:hAnsi="Calibri" w:cs="Calibri"/>
          <w:lang w:val="en-GB"/>
        </w:rPr>
      </w:pPr>
      <w:r w:rsidRPr="0089630F">
        <w:rPr>
          <w:rFonts w:ascii="Calibri" w:hAnsi="Calibri" w:cs="Calibri"/>
          <w:color w:val="231F20"/>
          <w:spacing w:val="-1"/>
          <w:lang w:val="en-GB"/>
        </w:rPr>
        <w:t>Disaster</w:t>
      </w:r>
      <w:r w:rsidRPr="0089630F">
        <w:rPr>
          <w:rFonts w:ascii="Calibri" w:hAnsi="Calibri" w:cs="Calibri"/>
          <w:color w:val="231F20"/>
          <w:spacing w:val="-22"/>
          <w:lang w:val="en-GB"/>
        </w:rPr>
        <w:t xml:space="preserve"> </w:t>
      </w:r>
      <w:r w:rsidRPr="0089630F">
        <w:rPr>
          <w:rFonts w:ascii="Calibri" w:hAnsi="Calibri" w:cs="Calibri"/>
          <w:color w:val="231F20"/>
          <w:spacing w:val="-1"/>
          <w:lang w:val="en-GB"/>
        </w:rPr>
        <w:t>risk</w:t>
      </w:r>
      <w:r w:rsidRPr="0089630F">
        <w:rPr>
          <w:rFonts w:ascii="Calibri" w:hAnsi="Calibri" w:cs="Calibri"/>
          <w:color w:val="231F20"/>
          <w:spacing w:val="-22"/>
          <w:lang w:val="en-GB"/>
        </w:rPr>
        <w:t xml:space="preserve"> </w:t>
      </w:r>
      <w:r w:rsidRPr="0089630F">
        <w:rPr>
          <w:rFonts w:ascii="Calibri" w:hAnsi="Calibri" w:cs="Calibri"/>
          <w:color w:val="231F20"/>
          <w:spacing w:val="-1"/>
          <w:lang w:val="en-GB"/>
        </w:rPr>
        <w:t>reduction</w:t>
      </w:r>
      <w:r w:rsidRPr="0089630F">
        <w:rPr>
          <w:rFonts w:ascii="Calibri" w:hAnsi="Calibri" w:cs="Calibri"/>
          <w:color w:val="231F20"/>
          <w:spacing w:val="-22"/>
          <w:lang w:val="en-GB"/>
        </w:rPr>
        <w:t xml:space="preserve"> </w:t>
      </w:r>
      <w:r w:rsidRPr="0089630F">
        <w:rPr>
          <w:rFonts w:ascii="Calibri" w:hAnsi="Calibri" w:cs="Calibri"/>
          <w:color w:val="231F20"/>
          <w:lang w:val="en-GB"/>
        </w:rPr>
        <w:t>requires</w:t>
      </w:r>
      <w:r w:rsidRPr="0089630F">
        <w:rPr>
          <w:rFonts w:ascii="Calibri" w:hAnsi="Calibri" w:cs="Calibri"/>
          <w:color w:val="231F20"/>
          <w:spacing w:val="-22"/>
          <w:lang w:val="en-GB"/>
        </w:rPr>
        <w:t xml:space="preserve"> </w:t>
      </w:r>
      <w:r w:rsidRPr="0089630F">
        <w:rPr>
          <w:rFonts w:ascii="Calibri" w:hAnsi="Calibri" w:cs="Calibri"/>
          <w:color w:val="231F20"/>
          <w:lang w:val="en-GB"/>
        </w:rPr>
        <w:t>that</w:t>
      </w:r>
      <w:r w:rsidRPr="0089630F">
        <w:rPr>
          <w:rFonts w:ascii="Calibri" w:hAnsi="Calibri" w:cs="Calibri"/>
          <w:color w:val="231F20"/>
          <w:spacing w:val="-22"/>
          <w:lang w:val="en-GB"/>
        </w:rPr>
        <w:t xml:space="preserve"> </w:t>
      </w:r>
      <w:r w:rsidRPr="0089630F">
        <w:rPr>
          <w:rFonts w:ascii="Calibri" w:hAnsi="Calibri" w:cs="Calibri"/>
          <w:color w:val="231F20"/>
          <w:lang w:val="en-GB"/>
        </w:rPr>
        <w:t>responsibilities</w:t>
      </w:r>
      <w:r w:rsidRPr="0089630F">
        <w:rPr>
          <w:rFonts w:ascii="Calibri" w:hAnsi="Calibri" w:cs="Calibri"/>
          <w:color w:val="231F20"/>
          <w:spacing w:val="-22"/>
          <w:lang w:val="en-GB"/>
        </w:rPr>
        <w:t xml:space="preserve"> </w:t>
      </w:r>
      <w:r w:rsidRPr="0089630F">
        <w:rPr>
          <w:rFonts w:ascii="Calibri" w:hAnsi="Calibri" w:cs="Calibri"/>
          <w:color w:val="231F20"/>
          <w:lang w:val="en-GB"/>
        </w:rPr>
        <w:t>be</w:t>
      </w:r>
      <w:r w:rsidRPr="0089630F">
        <w:rPr>
          <w:rFonts w:ascii="Calibri" w:hAnsi="Calibri" w:cs="Calibri"/>
          <w:color w:val="231F20"/>
          <w:spacing w:val="-22"/>
          <w:lang w:val="en-GB"/>
        </w:rPr>
        <w:t xml:space="preserve"> </w:t>
      </w:r>
      <w:r w:rsidRPr="0089630F">
        <w:rPr>
          <w:rFonts w:ascii="Calibri" w:hAnsi="Calibri" w:cs="Calibri"/>
          <w:color w:val="231F20"/>
          <w:lang w:val="en-GB"/>
        </w:rPr>
        <w:t>shared</w:t>
      </w:r>
      <w:r w:rsidRPr="0089630F">
        <w:rPr>
          <w:rFonts w:ascii="Calibri" w:hAnsi="Calibri" w:cs="Calibri"/>
          <w:color w:val="231F20"/>
          <w:spacing w:val="-22"/>
          <w:lang w:val="en-GB"/>
        </w:rPr>
        <w:t xml:space="preserve"> </w:t>
      </w:r>
      <w:r w:rsidRPr="0089630F">
        <w:rPr>
          <w:rFonts w:ascii="Calibri" w:hAnsi="Calibri" w:cs="Calibri"/>
          <w:color w:val="231F20"/>
          <w:lang w:val="en-GB"/>
        </w:rPr>
        <w:t>by</w:t>
      </w:r>
      <w:r w:rsidRPr="0089630F">
        <w:rPr>
          <w:rFonts w:ascii="Calibri" w:hAnsi="Calibri" w:cs="Calibri"/>
          <w:color w:val="231F20"/>
          <w:spacing w:val="-22"/>
          <w:lang w:val="en-GB"/>
        </w:rPr>
        <w:t xml:space="preserve"> </w:t>
      </w:r>
      <w:r w:rsidRPr="0089630F">
        <w:rPr>
          <w:rFonts w:ascii="Calibri" w:hAnsi="Calibri" w:cs="Calibri"/>
          <w:color w:val="231F20"/>
          <w:lang w:val="en-GB"/>
        </w:rPr>
        <w:t>central</w:t>
      </w:r>
      <w:r w:rsidRPr="0089630F">
        <w:rPr>
          <w:rFonts w:ascii="Calibri" w:hAnsi="Calibri" w:cs="Calibri"/>
          <w:color w:val="231F20"/>
          <w:spacing w:val="-22"/>
          <w:lang w:val="en-GB"/>
        </w:rPr>
        <w:t xml:space="preserve"> </w:t>
      </w:r>
      <w:r w:rsidRPr="0089630F">
        <w:rPr>
          <w:rFonts w:ascii="Calibri" w:hAnsi="Calibri" w:cs="Calibri"/>
          <w:color w:val="231F20"/>
          <w:lang w:val="en-GB"/>
        </w:rPr>
        <w:t>Governments</w:t>
      </w:r>
      <w:r w:rsidRPr="0089630F">
        <w:rPr>
          <w:rFonts w:ascii="Calibri" w:hAnsi="Calibri" w:cs="Calibri"/>
          <w:color w:val="231F20"/>
          <w:spacing w:val="-22"/>
          <w:lang w:val="en-GB"/>
        </w:rPr>
        <w:t xml:space="preserve"> </w:t>
      </w:r>
      <w:r w:rsidRPr="0089630F">
        <w:rPr>
          <w:rFonts w:ascii="Calibri" w:hAnsi="Calibri" w:cs="Calibri"/>
          <w:color w:val="231F20"/>
          <w:lang w:val="en-GB"/>
        </w:rPr>
        <w:t>and</w:t>
      </w:r>
      <w:r w:rsidRPr="0089630F">
        <w:rPr>
          <w:rFonts w:ascii="Calibri" w:hAnsi="Calibri" w:cs="Calibri"/>
          <w:color w:val="231F20"/>
          <w:spacing w:val="-54"/>
          <w:lang w:val="en-GB"/>
        </w:rPr>
        <w:t xml:space="preserve"> </w:t>
      </w:r>
      <w:r w:rsidR="00910473" w:rsidRPr="0089630F">
        <w:rPr>
          <w:rFonts w:ascii="Calibri" w:hAnsi="Calibri" w:cs="Calibri"/>
          <w:color w:val="231F20"/>
          <w:spacing w:val="-54"/>
          <w:lang w:val="en-GB"/>
        </w:rPr>
        <w:t xml:space="preserve">   </w:t>
      </w:r>
      <w:r w:rsidR="00910473" w:rsidRPr="0089630F">
        <w:rPr>
          <w:rFonts w:ascii="Calibri" w:hAnsi="Calibri" w:cs="Calibri"/>
          <w:color w:val="231F20"/>
          <w:lang w:val="en-GB"/>
        </w:rPr>
        <w:t xml:space="preserve"> relevant </w:t>
      </w:r>
      <w:r w:rsidRPr="0089630F">
        <w:rPr>
          <w:rFonts w:ascii="Calibri" w:hAnsi="Calibri" w:cs="Calibri"/>
          <w:color w:val="231F20"/>
          <w:lang w:val="en-GB"/>
        </w:rPr>
        <w:t>national authorities, sectors and stakeholders, as appropriate to their nationa</w:t>
      </w:r>
      <w:r w:rsidR="00E0435D" w:rsidRPr="0089630F">
        <w:rPr>
          <w:rFonts w:ascii="Calibri" w:hAnsi="Calibri" w:cs="Calibri"/>
          <w:color w:val="231F20"/>
          <w:lang w:val="en-GB"/>
        </w:rPr>
        <w:t xml:space="preserve">l circumstances and systems of </w:t>
      </w:r>
      <w:proofErr w:type="gramStart"/>
      <w:r w:rsidR="00E0435D" w:rsidRPr="0089630F">
        <w:rPr>
          <w:rFonts w:ascii="Calibri" w:hAnsi="Calibri" w:cs="Calibri"/>
          <w:color w:val="231F20"/>
          <w:lang w:val="en-GB"/>
        </w:rPr>
        <w:t>governance</w:t>
      </w:r>
      <w:r w:rsidRPr="0089630F">
        <w:rPr>
          <w:rFonts w:ascii="Calibri" w:hAnsi="Calibri" w:cs="Calibri"/>
          <w:color w:val="231F20"/>
          <w:w w:val="95"/>
          <w:lang w:val="en-GB"/>
        </w:rPr>
        <w:t>;</w:t>
      </w:r>
      <w:proofErr w:type="gramEnd"/>
    </w:p>
    <w:p w14:paraId="1E3B2B4B" w14:textId="7BFCF8FB" w:rsidR="00AE3899" w:rsidRPr="0089630F" w:rsidRDefault="00AE3899" w:rsidP="000C1DDE">
      <w:pPr>
        <w:pStyle w:val="ListParagraph"/>
        <w:widowControl w:val="0"/>
        <w:numPr>
          <w:ilvl w:val="0"/>
          <w:numId w:val="2"/>
        </w:numPr>
        <w:tabs>
          <w:tab w:val="left" w:pos="2162"/>
        </w:tabs>
        <w:autoSpaceDE w:val="0"/>
        <w:autoSpaceDN w:val="0"/>
        <w:spacing w:before="120" w:after="120" w:line="240" w:lineRule="auto"/>
        <w:ind w:left="714" w:right="6" w:hanging="357"/>
        <w:contextualSpacing w:val="0"/>
        <w:jc w:val="both"/>
        <w:rPr>
          <w:rFonts w:ascii="Calibri" w:hAnsi="Calibri" w:cs="Calibri"/>
          <w:lang w:val="en-GB"/>
        </w:rPr>
      </w:pPr>
      <w:r w:rsidRPr="0089630F">
        <w:rPr>
          <w:rFonts w:ascii="Calibri" w:hAnsi="Calibri" w:cs="Calibri"/>
          <w:color w:val="231F20"/>
          <w:lang w:val="en-GB"/>
        </w:rPr>
        <w:t>Managing</w:t>
      </w:r>
      <w:r w:rsidRPr="0089630F">
        <w:rPr>
          <w:rFonts w:ascii="Calibri" w:hAnsi="Calibri" w:cs="Calibri"/>
          <w:color w:val="231F20"/>
          <w:spacing w:val="-4"/>
          <w:lang w:val="en-GB"/>
        </w:rPr>
        <w:t xml:space="preserve"> </w:t>
      </w:r>
      <w:r w:rsidRPr="0089630F">
        <w:rPr>
          <w:rFonts w:ascii="Calibri" w:hAnsi="Calibri" w:cs="Calibri"/>
          <w:color w:val="231F20"/>
          <w:lang w:val="en-GB"/>
        </w:rPr>
        <w:t>the</w:t>
      </w:r>
      <w:r w:rsidRPr="0089630F">
        <w:rPr>
          <w:rFonts w:ascii="Calibri" w:hAnsi="Calibri" w:cs="Calibri"/>
          <w:color w:val="231F20"/>
          <w:spacing w:val="-3"/>
          <w:lang w:val="en-GB"/>
        </w:rPr>
        <w:t xml:space="preserve"> </w:t>
      </w:r>
      <w:r w:rsidRPr="0089630F">
        <w:rPr>
          <w:rFonts w:ascii="Calibri" w:hAnsi="Calibri" w:cs="Calibri"/>
          <w:color w:val="231F20"/>
          <w:lang w:val="en-GB"/>
        </w:rPr>
        <w:t>risk</w:t>
      </w:r>
      <w:r w:rsidRPr="0089630F">
        <w:rPr>
          <w:rFonts w:ascii="Calibri" w:hAnsi="Calibri" w:cs="Calibri"/>
          <w:color w:val="231F20"/>
          <w:spacing w:val="-3"/>
          <w:lang w:val="en-GB"/>
        </w:rPr>
        <w:t xml:space="preserve"> </w:t>
      </w:r>
      <w:r w:rsidRPr="0089630F">
        <w:rPr>
          <w:rFonts w:ascii="Calibri" w:hAnsi="Calibri" w:cs="Calibri"/>
          <w:color w:val="231F20"/>
          <w:lang w:val="en-GB"/>
        </w:rPr>
        <w:t>of</w:t>
      </w:r>
      <w:r w:rsidRPr="0089630F">
        <w:rPr>
          <w:rFonts w:ascii="Calibri" w:hAnsi="Calibri" w:cs="Calibri"/>
          <w:color w:val="231F20"/>
          <w:spacing w:val="-3"/>
          <w:lang w:val="en-GB"/>
        </w:rPr>
        <w:t xml:space="preserve"> </w:t>
      </w:r>
      <w:r w:rsidRPr="0089630F">
        <w:rPr>
          <w:rFonts w:ascii="Calibri" w:hAnsi="Calibri" w:cs="Calibri"/>
          <w:color w:val="231F20"/>
          <w:lang w:val="en-GB"/>
        </w:rPr>
        <w:t>disasters</w:t>
      </w:r>
      <w:r w:rsidRPr="0089630F">
        <w:rPr>
          <w:rFonts w:ascii="Calibri" w:hAnsi="Calibri" w:cs="Calibri"/>
          <w:color w:val="231F20"/>
          <w:spacing w:val="-3"/>
          <w:lang w:val="en-GB"/>
        </w:rPr>
        <w:t xml:space="preserve"> </w:t>
      </w:r>
      <w:r w:rsidRPr="0089630F">
        <w:rPr>
          <w:rFonts w:ascii="Calibri" w:hAnsi="Calibri" w:cs="Calibri"/>
          <w:color w:val="231F20"/>
          <w:lang w:val="en-GB"/>
        </w:rPr>
        <w:t>is</w:t>
      </w:r>
      <w:r w:rsidRPr="0089630F">
        <w:rPr>
          <w:rFonts w:ascii="Calibri" w:hAnsi="Calibri" w:cs="Calibri"/>
          <w:color w:val="231F20"/>
          <w:spacing w:val="-4"/>
          <w:lang w:val="en-GB"/>
        </w:rPr>
        <w:t xml:space="preserve"> </w:t>
      </w:r>
      <w:r w:rsidRPr="0089630F">
        <w:rPr>
          <w:rFonts w:ascii="Calibri" w:hAnsi="Calibri" w:cs="Calibri"/>
          <w:color w:val="231F20"/>
          <w:lang w:val="en-GB"/>
        </w:rPr>
        <w:t>aimed</w:t>
      </w:r>
      <w:r w:rsidRPr="0089630F">
        <w:rPr>
          <w:rFonts w:ascii="Calibri" w:hAnsi="Calibri" w:cs="Calibri"/>
          <w:color w:val="231F20"/>
          <w:spacing w:val="-3"/>
          <w:lang w:val="en-GB"/>
        </w:rPr>
        <w:t xml:space="preserve"> </w:t>
      </w:r>
      <w:r w:rsidRPr="0089630F">
        <w:rPr>
          <w:rFonts w:ascii="Calibri" w:hAnsi="Calibri" w:cs="Calibri"/>
          <w:color w:val="231F20"/>
          <w:lang w:val="en-GB"/>
        </w:rPr>
        <w:t>at</w:t>
      </w:r>
      <w:r w:rsidRPr="0089630F">
        <w:rPr>
          <w:rFonts w:ascii="Calibri" w:hAnsi="Calibri" w:cs="Calibri"/>
          <w:color w:val="231F20"/>
          <w:spacing w:val="-3"/>
          <w:lang w:val="en-GB"/>
        </w:rPr>
        <w:t xml:space="preserve"> </w:t>
      </w:r>
      <w:r w:rsidRPr="0089630F">
        <w:rPr>
          <w:rFonts w:ascii="Calibri" w:hAnsi="Calibri" w:cs="Calibri"/>
          <w:color w:val="231F20"/>
          <w:lang w:val="en-GB"/>
        </w:rPr>
        <w:t>protecting</w:t>
      </w:r>
      <w:r w:rsidRPr="0089630F">
        <w:rPr>
          <w:rFonts w:ascii="Calibri" w:hAnsi="Calibri" w:cs="Calibri"/>
          <w:color w:val="231F20"/>
          <w:spacing w:val="-4"/>
          <w:lang w:val="en-GB"/>
        </w:rPr>
        <w:t xml:space="preserve"> </w:t>
      </w:r>
      <w:r w:rsidRPr="0089630F">
        <w:rPr>
          <w:rFonts w:ascii="Calibri" w:hAnsi="Calibri" w:cs="Calibri"/>
          <w:color w:val="231F20"/>
          <w:lang w:val="en-GB"/>
        </w:rPr>
        <w:t>persons</w:t>
      </w:r>
      <w:r w:rsidRPr="0089630F">
        <w:rPr>
          <w:rFonts w:ascii="Calibri" w:hAnsi="Calibri" w:cs="Calibri"/>
          <w:color w:val="231F20"/>
          <w:spacing w:val="-3"/>
          <w:lang w:val="en-GB"/>
        </w:rPr>
        <w:t xml:space="preserve"> </w:t>
      </w:r>
      <w:r w:rsidRPr="0089630F">
        <w:rPr>
          <w:rFonts w:ascii="Calibri" w:hAnsi="Calibri" w:cs="Calibri"/>
          <w:color w:val="231F20"/>
          <w:lang w:val="en-GB"/>
        </w:rPr>
        <w:t>and</w:t>
      </w:r>
      <w:r w:rsidRPr="0089630F">
        <w:rPr>
          <w:rFonts w:ascii="Calibri" w:hAnsi="Calibri" w:cs="Calibri"/>
          <w:color w:val="231F20"/>
          <w:spacing w:val="-4"/>
          <w:lang w:val="en-GB"/>
        </w:rPr>
        <w:t xml:space="preserve"> </w:t>
      </w:r>
      <w:r w:rsidRPr="0089630F">
        <w:rPr>
          <w:rFonts w:ascii="Calibri" w:hAnsi="Calibri" w:cs="Calibri"/>
          <w:color w:val="231F20"/>
          <w:lang w:val="en-GB"/>
        </w:rPr>
        <w:t>their</w:t>
      </w:r>
      <w:r w:rsidRPr="0089630F">
        <w:rPr>
          <w:rFonts w:ascii="Calibri" w:hAnsi="Calibri" w:cs="Calibri"/>
          <w:color w:val="231F20"/>
          <w:spacing w:val="-3"/>
          <w:lang w:val="en-GB"/>
        </w:rPr>
        <w:t xml:space="preserve"> </w:t>
      </w:r>
      <w:r w:rsidRPr="0089630F">
        <w:rPr>
          <w:rFonts w:ascii="Calibri" w:hAnsi="Calibri" w:cs="Calibri"/>
          <w:color w:val="231F20"/>
          <w:lang w:val="en-GB"/>
        </w:rPr>
        <w:t>property,</w:t>
      </w:r>
      <w:r w:rsidRPr="0089630F">
        <w:rPr>
          <w:rFonts w:ascii="Calibri" w:hAnsi="Calibri" w:cs="Calibri"/>
          <w:color w:val="231F20"/>
          <w:spacing w:val="-3"/>
          <w:lang w:val="en-GB"/>
        </w:rPr>
        <w:t xml:space="preserve"> </w:t>
      </w:r>
      <w:proofErr w:type="gramStart"/>
      <w:r w:rsidRPr="0089630F">
        <w:rPr>
          <w:rFonts w:ascii="Calibri" w:hAnsi="Calibri" w:cs="Calibri"/>
          <w:color w:val="231F20"/>
          <w:lang w:val="en-GB"/>
        </w:rPr>
        <w:t>health</w:t>
      </w:r>
      <w:r w:rsidR="00910473" w:rsidRPr="0089630F">
        <w:rPr>
          <w:rFonts w:ascii="Calibri" w:hAnsi="Calibri" w:cs="Calibri"/>
          <w:color w:val="231F20"/>
          <w:lang w:val="en-GB"/>
        </w:rPr>
        <w:t xml:space="preserve">, </w:t>
      </w:r>
      <w:r w:rsidR="00910473" w:rsidRPr="0089630F">
        <w:rPr>
          <w:rFonts w:ascii="Calibri" w:hAnsi="Calibri" w:cs="Calibri"/>
          <w:color w:val="231F20"/>
          <w:spacing w:val="-54"/>
          <w:lang w:val="en-GB"/>
        </w:rPr>
        <w:t xml:space="preserve">  </w:t>
      </w:r>
      <w:proofErr w:type="gramEnd"/>
      <w:r w:rsidR="00910473" w:rsidRPr="0089630F">
        <w:rPr>
          <w:rFonts w:ascii="Calibri" w:hAnsi="Calibri" w:cs="Calibri"/>
          <w:color w:val="231F20"/>
          <w:spacing w:val="-54"/>
          <w:lang w:val="en-GB"/>
        </w:rPr>
        <w:t xml:space="preserve"> </w:t>
      </w:r>
      <w:r w:rsidR="00910473" w:rsidRPr="0089630F">
        <w:rPr>
          <w:rFonts w:ascii="Calibri" w:hAnsi="Calibri" w:cs="Calibri"/>
          <w:color w:val="231F20"/>
          <w:lang w:val="en-GB"/>
        </w:rPr>
        <w:t>livelihoods</w:t>
      </w:r>
      <w:r w:rsidRPr="0089630F">
        <w:rPr>
          <w:rFonts w:ascii="Calibri" w:hAnsi="Calibri" w:cs="Calibri"/>
          <w:color w:val="231F20"/>
          <w:lang w:val="en-GB"/>
        </w:rPr>
        <w:t xml:space="preserve"> and productive assets, as well as cultural and environmental assets, while</w:t>
      </w:r>
      <w:r w:rsidR="00890930" w:rsidRPr="0089630F">
        <w:rPr>
          <w:rFonts w:ascii="Calibri" w:hAnsi="Calibri" w:cs="Calibri"/>
          <w:color w:val="231F20"/>
          <w:lang w:val="en-GB"/>
        </w:rPr>
        <w:t xml:space="preserve"> promoting and protecting all human rights, including the right to development</w:t>
      </w:r>
      <w:r w:rsidRPr="0089630F">
        <w:rPr>
          <w:rFonts w:ascii="Calibri" w:hAnsi="Calibri" w:cs="Calibri"/>
          <w:color w:val="231F20"/>
          <w:w w:val="95"/>
          <w:lang w:val="en-GB"/>
        </w:rPr>
        <w:t>;</w:t>
      </w:r>
    </w:p>
    <w:p w14:paraId="788C89BA" w14:textId="32E8B922" w:rsidR="00AE3899" w:rsidRPr="0089630F" w:rsidRDefault="5B3D87CF" w:rsidP="000C1DDE">
      <w:pPr>
        <w:pStyle w:val="ListParagraph"/>
        <w:widowControl w:val="0"/>
        <w:numPr>
          <w:ilvl w:val="0"/>
          <w:numId w:val="2"/>
        </w:numPr>
        <w:tabs>
          <w:tab w:val="left" w:pos="2162"/>
        </w:tabs>
        <w:autoSpaceDE w:val="0"/>
        <w:autoSpaceDN w:val="0"/>
        <w:spacing w:before="120" w:after="120" w:line="240" w:lineRule="auto"/>
        <w:ind w:left="714" w:right="6" w:hanging="357"/>
        <w:contextualSpacing w:val="0"/>
        <w:jc w:val="both"/>
        <w:rPr>
          <w:rFonts w:ascii="Calibri" w:hAnsi="Calibri" w:cs="Calibri"/>
          <w:lang w:val="en-GB"/>
        </w:rPr>
      </w:pPr>
      <w:r w:rsidRPr="0089630F">
        <w:rPr>
          <w:rFonts w:ascii="Calibri" w:hAnsi="Calibri" w:cs="Calibri"/>
          <w:color w:val="231F20"/>
          <w:lang w:val="en-GB"/>
        </w:rPr>
        <w:t>Disaster risk reduction requires an all-of-society engagement and partnership. It also</w:t>
      </w:r>
      <w:r w:rsidRPr="0089630F">
        <w:rPr>
          <w:rFonts w:ascii="Calibri" w:hAnsi="Calibri" w:cs="Calibri"/>
          <w:color w:val="231F20"/>
          <w:spacing w:val="1"/>
          <w:lang w:val="en-GB"/>
        </w:rPr>
        <w:t xml:space="preserve"> </w:t>
      </w:r>
      <w:r w:rsidRPr="0089630F">
        <w:rPr>
          <w:rFonts w:ascii="Calibri" w:hAnsi="Calibri" w:cs="Calibri"/>
          <w:color w:val="231F20"/>
          <w:lang w:val="en-GB"/>
        </w:rPr>
        <w:t>requires empowerment and inclusive, accessible and non</w:t>
      </w:r>
      <w:r w:rsidR="00910473" w:rsidRPr="0089630F">
        <w:rPr>
          <w:rFonts w:ascii="Calibri" w:hAnsi="Calibri" w:cs="Calibri"/>
          <w:color w:val="231F20"/>
          <w:lang w:val="en-GB"/>
        </w:rPr>
        <w:t>-</w:t>
      </w:r>
      <w:r w:rsidRPr="0089630F">
        <w:rPr>
          <w:rFonts w:ascii="Calibri" w:hAnsi="Calibri" w:cs="Calibri"/>
          <w:color w:val="231F20"/>
          <w:lang w:val="en-GB"/>
        </w:rPr>
        <w:t>discriminatory participation,</w:t>
      </w:r>
      <w:r w:rsidRPr="0089630F">
        <w:rPr>
          <w:rFonts w:ascii="Calibri" w:hAnsi="Calibri" w:cs="Calibri"/>
          <w:color w:val="231F20"/>
          <w:spacing w:val="1"/>
          <w:lang w:val="en-GB"/>
        </w:rPr>
        <w:t xml:space="preserve"> </w:t>
      </w:r>
      <w:r w:rsidRPr="0089630F">
        <w:rPr>
          <w:rFonts w:ascii="Calibri" w:hAnsi="Calibri" w:cs="Calibri"/>
          <w:color w:val="231F20"/>
          <w:lang w:val="en-GB"/>
        </w:rPr>
        <w:t>paying</w:t>
      </w:r>
      <w:r w:rsidRPr="0089630F">
        <w:rPr>
          <w:rFonts w:ascii="Calibri" w:hAnsi="Calibri" w:cs="Calibri"/>
          <w:color w:val="231F20"/>
          <w:spacing w:val="-11"/>
          <w:lang w:val="en-GB"/>
        </w:rPr>
        <w:t xml:space="preserve"> </w:t>
      </w:r>
      <w:r w:rsidRPr="0089630F">
        <w:rPr>
          <w:rFonts w:ascii="Calibri" w:hAnsi="Calibri" w:cs="Calibri"/>
          <w:color w:val="231F20"/>
          <w:lang w:val="en-GB"/>
        </w:rPr>
        <w:t>special</w:t>
      </w:r>
      <w:r w:rsidRPr="0089630F">
        <w:rPr>
          <w:rFonts w:ascii="Calibri" w:hAnsi="Calibri" w:cs="Calibri"/>
          <w:color w:val="231F20"/>
          <w:spacing w:val="-10"/>
          <w:lang w:val="en-GB"/>
        </w:rPr>
        <w:t xml:space="preserve"> </w:t>
      </w:r>
      <w:r w:rsidRPr="0089630F">
        <w:rPr>
          <w:rFonts w:ascii="Calibri" w:hAnsi="Calibri" w:cs="Calibri"/>
          <w:color w:val="231F20"/>
          <w:lang w:val="en-GB"/>
        </w:rPr>
        <w:t>attention</w:t>
      </w:r>
      <w:r w:rsidRPr="0089630F">
        <w:rPr>
          <w:rFonts w:ascii="Calibri" w:hAnsi="Calibri" w:cs="Calibri"/>
          <w:color w:val="231F20"/>
          <w:spacing w:val="-10"/>
          <w:lang w:val="en-GB"/>
        </w:rPr>
        <w:t xml:space="preserve"> </w:t>
      </w:r>
      <w:r w:rsidRPr="0089630F">
        <w:rPr>
          <w:rFonts w:ascii="Calibri" w:hAnsi="Calibri" w:cs="Calibri"/>
          <w:color w:val="231F20"/>
          <w:lang w:val="en-GB"/>
        </w:rPr>
        <w:t>to</w:t>
      </w:r>
      <w:r w:rsidRPr="0089630F">
        <w:rPr>
          <w:rFonts w:ascii="Calibri" w:hAnsi="Calibri" w:cs="Calibri"/>
          <w:color w:val="231F20"/>
          <w:spacing w:val="-10"/>
          <w:lang w:val="en-GB"/>
        </w:rPr>
        <w:t xml:space="preserve"> </w:t>
      </w:r>
      <w:r w:rsidRPr="0089630F">
        <w:rPr>
          <w:rFonts w:ascii="Calibri" w:hAnsi="Calibri" w:cs="Calibri"/>
          <w:color w:val="231F20"/>
          <w:lang w:val="en-GB"/>
        </w:rPr>
        <w:t>people</w:t>
      </w:r>
      <w:r w:rsidRPr="0089630F">
        <w:rPr>
          <w:rFonts w:ascii="Calibri" w:hAnsi="Calibri" w:cs="Calibri"/>
          <w:color w:val="231F20"/>
          <w:spacing w:val="-10"/>
          <w:lang w:val="en-GB"/>
        </w:rPr>
        <w:t xml:space="preserve"> </w:t>
      </w:r>
      <w:r w:rsidRPr="0089630F">
        <w:rPr>
          <w:rFonts w:ascii="Calibri" w:hAnsi="Calibri" w:cs="Calibri"/>
          <w:color w:val="231F20"/>
          <w:lang w:val="en-GB"/>
        </w:rPr>
        <w:t>disproportionately</w:t>
      </w:r>
      <w:r w:rsidRPr="0089630F">
        <w:rPr>
          <w:rFonts w:ascii="Calibri" w:hAnsi="Calibri" w:cs="Calibri"/>
          <w:color w:val="231F20"/>
          <w:spacing w:val="-10"/>
          <w:lang w:val="en-GB"/>
        </w:rPr>
        <w:t xml:space="preserve"> </w:t>
      </w:r>
      <w:r w:rsidRPr="0089630F">
        <w:rPr>
          <w:rFonts w:ascii="Calibri" w:hAnsi="Calibri" w:cs="Calibri"/>
          <w:color w:val="231F20"/>
          <w:lang w:val="en-GB"/>
        </w:rPr>
        <w:t>affected</w:t>
      </w:r>
      <w:r w:rsidRPr="0089630F">
        <w:rPr>
          <w:rFonts w:ascii="Calibri" w:hAnsi="Calibri" w:cs="Calibri"/>
          <w:color w:val="231F20"/>
          <w:spacing w:val="-10"/>
          <w:lang w:val="en-GB"/>
        </w:rPr>
        <w:t xml:space="preserve"> </w:t>
      </w:r>
      <w:r w:rsidRPr="0089630F">
        <w:rPr>
          <w:rFonts w:ascii="Calibri" w:hAnsi="Calibri" w:cs="Calibri"/>
          <w:color w:val="231F20"/>
          <w:lang w:val="en-GB"/>
        </w:rPr>
        <w:t>by</w:t>
      </w:r>
      <w:r w:rsidRPr="0089630F">
        <w:rPr>
          <w:rFonts w:ascii="Calibri" w:hAnsi="Calibri" w:cs="Calibri"/>
          <w:color w:val="231F20"/>
          <w:spacing w:val="-10"/>
          <w:lang w:val="en-GB"/>
        </w:rPr>
        <w:t xml:space="preserve"> </w:t>
      </w:r>
      <w:r w:rsidRPr="0089630F">
        <w:rPr>
          <w:rFonts w:ascii="Calibri" w:hAnsi="Calibri" w:cs="Calibri"/>
          <w:color w:val="231F20"/>
          <w:lang w:val="en-GB"/>
        </w:rPr>
        <w:t>disasters</w:t>
      </w:r>
      <w:r w:rsidR="0E5131B1" w:rsidRPr="0089630F">
        <w:rPr>
          <w:rFonts w:ascii="Calibri" w:hAnsi="Calibri" w:cs="Calibri"/>
          <w:color w:val="231F20"/>
          <w:lang w:val="en-GB"/>
        </w:rPr>
        <w:t xml:space="preserve"> </w:t>
      </w:r>
      <w:r w:rsidRPr="0089630F">
        <w:rPr>
          <w:rFonts w:ascii="Calibri" w:hAnsi="Calibri" w:cs="Calibri"/>
          <w:color w:val="231F20"/>
          <w:lang w:val="en-GB"/>
        </w:rPr>
        <w:t>especially</w:t>
      </w:r>
      <w:r w:rsidR="00A05968" w:rsidRPr="0089630F">
        <w:rPr>
          <w:rFonts w:ascii="Calibri" w:hAnsi="Calibri" w:cs="Calibri"/>
          <w:color w:val="231F20"/>
          <w:lang w:val="en-GB"/>
        </w:rPr>
        <w:t xml:space="preserve"> the poorest. A gender, age, disability and cultural perspective should be integrated in all policies and practices</w:t>
      </w:r>
      <w:r w:rsidR="002978DB" w:rsidRPr="0089630F">
        <w:rPr>
          <w:rFonts w:ascii="Calibri" w:hAnsi="Calibri" w:cs="Calibri"/>
          <w:color w:val="231F20"/>
          <w:lang w:val="en-GB"/>
        </w:rPr>
        <w:t>, and women and youth leadership should be promoted. In this context, special attention</w:t>
      </w:r>
      <w:r w:rsidRPr="0089630F">
        <w:rPr>
          <w:rFonts w:ascii="Calibri" w:hAnsi="Calibri" w:cs="Calibri"/>
          <w:color w:val="231F20"/>
          <w:spacing w:val="-16"/>
          <w:lang w:val="en-GB"/>
        </w:rPr>
        <w:t xml:space="preserve"> </w:t>
      </w:r>
      <w:r w:rsidRPr="0089630F">
        <w:rPr>
          <w:rFonts w:ascii="Calibri" w:hAnsi="Calibri" w:cs="Calibri"/>
          <w:color w:val="231F20"/>
          <w:spacing w:val="-1"/>
          <w:lang w:val="en-GB"/>
        </w:rPr>
        <w:t>should</w:t>
      </w:r>
      <w:r w:rsidRPr="0089630F">
        <w:rPr>
          <w:rFonts w:ascii="Calibri" w:hAnsi="Calibri" w:cs="Calibri"/>
          <w:color w:val="231F20"/>
          <w:spacing w:val="-16"/>
          <w:lang w:val="en-GB"/>
        </w:rPr>
        <w:t xml:space="preserve"> </w:t>
      </w:r>
      <w:r w:rsidRPr="0089630F">
        <w:rPr>
          <w:rFonts w:ascii="Calibri" w:hAnsi="Calibri" w:cs="Calibri"/>
          <w:color w:val="231F20"/>
          <w:lang w:val="en-GB"/>
        </w:rPr>
        <w:t>be</w:t>
      </w:r>
      <w:r w:rsidRPr="0089630F">
        <w:rPr>
          <w:rFonts w:ascii="Calibri" w:hAnsi="Calibri" w:cs="Calibri"/>
          <w:color w:val="231F20"/>
          <w:spacing w:val="-16"/>
          <w:lang w:val="en-GB"/>
        </w:rPr>
        <w:t xml:space="preserve"> </w:t>
      </w:r>
      <w:r w:rsidRPr="0089630F">
        <w:rPr>
          <w:rFonts w:ascii="Calibri" w:hAnsi="Calibri" w:cs="Calibri"/>
          <w:color w:val="231F20"/>
          <w:lang w:val="en-GB"/>
        </w:rPr>
        <w:t>paid</w:t>
      </w:r>
      <w:r w:rsidRPr="0089630F">
        <w:rPr>
          <w:rFonts w:ascii="Calibri" w:hAnsi="Calibri" w:cs="Calibri"/>
          <w:color w:val="231F20"/>
          <w:spacing w:val="-16"/>
          <w:lang w:val="en-GB"/>
        </w:rPr>
        <w:t xml:space="preserve"> </w:t>
      </w:r>
      <w:r w:rsidRPr="0089630F">
        <w:rPr>
          <w:rFonts w:ascii="Calibri" w:hAnsi="Calibri" w:cs="Calibri"/>
          <w:color w:val="231F20"/>
          <w:lang w:val="en-GB"/>
        </w:rPr>
        <w:t>to</w:t>
      </w:r>
      <w:r w:rsidRPr="0089630F">
        <w:rPr>
          <w:rFonts w:ascii="Calibri" w:hAnsi="Calibri" w:cs="Calibri"/>
          <w:color w:val="231F20"/>
          <w:spacing w:val="-16"/>
          <w:lang w:val="en-GB"/>
        </w:rPr>
        <w:t xml:space="preserve"> </w:t>
      </w:r>
      <w:r w:rsidRPr="0089630F">
        <w:rPr>
          <w:rFonts w:ascii="Calibri" w:hAnsi="Calibri" w:cs="Calibri"/>
          <w:color w:val="231F20"/>
          <w:lang w:val="en-GB"/>
        </w:rPr>
        <w:t>the</w:t>
      </w:r>
      <w:r w:rsidRPr="0089630F">
        <w:rPr>
          <w:rFonts w:ascii="Calibri" w:hAnsi="Calibri" w:cs="Calibri"/>
          <w:color w:val="231F20"/>
          <w:spacing w:val="-16"/>
          <w:lang w:val="en-GB"/>
        </w:rPr>
        <w:t xml:space="preserve"> </w:t>
      </w:r>
      <w:r w:rsidRPr="0089630F">
        <w:rPr>
          <w:rFonts w:ascii="Calibri" w:hAnsi="Calibri" w:cs="Calibri"/>
          <w:color w:val="231F20"/>
          <w:lang w:val="en-GB"/>
        </w:rPr>
        <w:t>improvement</w:t>
      </w:r>
      <w:r w:rsidRPr="0089630F">
        <w:rPr>
          <w:rFonts w:ascii="Calibri" w:hAnsi="Calibri" w:cs="Calibri"/>
          <w:color w:val="231F20"/>
          <w:spacing w:val="-16"/>
          <w:lang w:val="en-GB"/>
        </w:rPr>
        <w:t xml:space="preserve"> </w:t>
      </w:r>
      <w:r w:rsidRPr="0089630F">
        <w:rPr>
          <w:rFonts w:ascii="Calibri" w:hAnsi="Calibri" w:cs="Calibri"/>
          <w:color w:val="231F20"/>
          <w:lang w:val="en-GB"/>
        </w:rPr>
        <w:t>of</w:t>
      </w:r>
      <w:r w:rsidRPr="0089630F">
        <w:rPr>
          <w:rFonts w:ascii="Calibri" w:hAnsi="Calibri" w:cs="Calibri"/>
          <w:color w:val="231F20"/>
          <w:spacing w:val="-16"/>
          <w:lang w:val="en-GB"/>
        </w:rPr>
        <w:t xml:space="preserve"> </w:t>
      </w:r>
      <w:r w:rsidRPr="0089630F">
        <w:rPr>
          <w:rFonts w:ascii="Calibri" w:hAnsi="Calibri" w:cs="Calibri"/>
          <w:color w:val="231F20"/>
          <w:lang w:val="en-GB"/>
        </w:rPr>
        <w:t>organized</w:t>
      </w:r>
      <w:r w:rsidRPr="0089630F">
        <w:rPr>
          <w:rFonts w:ascii="Calibri" w:hAnsi="Calibri" w:cs="Calibri"/>
          <w:color w:val="231F20"/>
          <w:spacing w:val="-16"/>
          <w:lang w:val="en-GB"/>
        </w:rPr>
        <w:t xml:space="preserve"> </w:t>
      </w:r>
      <w:r w:rsidRPr="0089630F">
        <w:rPr>
          <w:rFonts w:ascii="Calibri" w:hAnsi="Calibri" w:cs="Calibri"/>
          <w:color w:val="231F20"/>
          <w:lang w:val="en-GB"/>
        </w:rPr>
        <w:t>voluntary</w:t>
      </w:r>
      <w:r w:rsidRPr="0089630F">
        <w:rPr>
          <w:rFonts w:ascii="Calibri" w:hAnsi="Calibri" w:cs="Calibri"/>
          <w:color w:val="231F20"/>
          <w:spacing w:val="-16"/>
          <w:lang w:val="en-GB"/>
        </w:rPr>
        <w:t xml:space="preserve"> </w:t>
      </w:r>
      <w:r w:rsidRPr="0089630F">
        <w:rPr>
          <w:rFonts w:ascii="Calibri" w:hAnsi="Calibri" w:cs="Calibri"/>
          <w:color w:val="231F20"/>
          <w:lang w:val="en-GB"/>
        </w:rPr>
        <w:t>work</w:t>
      </w:r>
      <w:r w:rsidRPr="0089630F">
        <w:rPr>
          <w:rFonts w:ascii="Calibri" w:hAnsi="Calibri" w:cs="Calibri"/>
          <w:color w:val="231F20"/>
          <w:spacing w:val="-16"/>
          <w:lang w:val="en-GB"/>
        </w:rPr>
        <w:t xml:space="preserve"> </w:t>
      </w:r>
      <w:r w:rsidRPr="0089630F">
        <w:rPr>
          <w:rFonts w:ascii="Calibri" w:hAnsi="Calibri" w:cs="Calibri"/>
          <w:color w:val="231F20"/>
          <w:lang w:val="en-GB"/>
        </w:rPr>
        <w:t>of</w:t>
      </w:r>
      <w:r w:rsidRPr="0089630F">
        <w:rPr>
          <w:rFonts w:ascii="Calibri" w:hAnsi="Calibri" w:cs="Calibri"/>
          <w:color w:val="231F20"/>
          <w:spacing w:val="-16"/>
          <w:lang w:val="en-GB"/>
        </w:rPr>
        <w:t xml:space="preserve"> </w:t>
      </w:r>
      <w:proofErr w:type="gramStart"/>
      <w:r w:rsidRPr="0089630F">
        <w:rPr>
          <w:rFonts w:ascii="Calibri" w:hAnsi="Calibri" w:cs="Calibri"/>
          <w:color w:val="231F20"/>
          <w:lang w:val="en-GB"/>
        </w:rPr>
        <w:t>citizens</w:t>
      </w:r>
      <w:r w:rsidR="007B799F" w:rsidRPr="0089630F">
        <w:rPr>
          <w:rFonts w:ascii="Calibri" w:hAnsi="Calibri" w:cs="Calibri"/>
          <w:color w:val="231F20"/>
          <w:lang w:val="en-GB"/>
        </w:rPr>
        <w:t>;</w:t>
      </w:r>
      <w:proofErr w:type="gramEnd"/>
    </w:p>
    <w:p w14:paraId="4283586C" w14:textId="044170D2" w:rsidR="00627C74" w:rsidRPr="0089630F" w:rsidRDefault="5B3D87CF" w:rsidP="000C1DDE">
      <w:pPr>
        <w:pStyle w:val="ListParagraph"/>
        <w:widowControl w:val="0"/>
        <w:numPr>
          <w:ilvl w:val="0"/>
          <w:numId w:val="2"/>
        </w:numPr>
        <w:tabs>
          <w:tab w:val="left" w:pos="2162"/>
        </w:tabs>
        <w:autoSpaceDE w:val="0"/>
        <w:autoSpaceDN w:val="0"/>
        <w:spacing w:before="120" w:after="120" w:line="240" w:lineRule="auto"/>
        <w:ind w:left="714" w:right="6" w:hanging="357"/>
        <w:contextualSpacing w:val="0"/>
        <w:jc w:val="both"/>
        <w:rPr>
          <w:rFonts w:ascii="Calibri" w:hAnsi="Calibri" w:cs="Calibri"/>
          <w:lang w:val="en-GB"/>
        </w:rPr>
      </w:pPr>
      <w:r w:rsidRPr="0089630F">
        <w:rPr>
          <w:rFonts w:ascii="Calibri" w:hAnsi="Calibri" w:cs="Calibri"/>
          <w:color w:val="231F20"/>
          <w:lang w:val="en-GB"/>
        </w:rPr>
        <w:t>Disaster risk reduction and management depends on coordination mechanisms within</w:t>
      </w:r>
      <w:r w:rsidRPr="0089630F">
        <w:rPr>
          <w:rFonts w:ascii="Calibri" w:hAnsi="Calibri" w:cs="Calibri"/>
          <w:color w:val="231F20"/>
          <w:spacing w:val="1"/>
          <w:lang w:val="en-GB"/>
        </w:rPr>
        <w:t xml:space="preserve"> </w:t>
      </w:r>
      <w:r w:rsidRPr="0089630F">
        <w:rPr>
          <w:rFonts w:ascii="Calibri" w:hAnsi="Calibri" w:cs="Calibri"/>
          <w:color w:val="231F20"/>
          <w:lang w:val="en-GB"/>
        </w:rPr>
        <w:t>and across sectors and with relevant stakeholders at all levels, and it requires the full</w:t>
      </w:r>
      <w:r w:rsidRPr="0089630F">
        <w:rPr>
          <w:rFonts w:ascii="Calibri" w:hAnsi="Calibri" w:cs="Calibri"/>
          <w:color w:val="231F20"/>
          <w:spacing w:val="1"/>
          <w:lang w:val="en-GB"/>
        </w:rPr>
        <w:t xml:space="preserve"> </w:t>
      </w:r>
      <w:r w:rsidRPr="0089630F">
        <w:rPr>
          <w:rFonts w:ascii="Calibri" w:hAnsi="Calibri" w:cs="Calibri"/>
          <w:color w:val="231F20"/>
          <w:lang w:val="en-GB"/>
        </w:rPr>
        <w:t>engagement</w:t>
      </w:r>
      <w:r w:rsidRPr="0089630F">
        <w:rPr>
          <w:rFonts w:ascii="Calibri" w:hAnsi="Calibri" w:cs="Calibri"/>
          <w:color w:val="231F20"/>
          <w:spacing w:val="-12"/>
          <w:lang w:val="en-GB"/>
        </w:rPr>
        <w:t xml:space="preserve"> </w:t>
      </w:r>
      <w:r w:rsidRPr="0089630F">
        <w:rPr>
          <w:rFonts w:ascii="Calibri" w:hAnsi="Calibri" w:cs="Calibri"/>
          <w:color w:val="231F20"/>
          <w:lang w:val="en-GB"/>
        </w:rPr>
        <w:t>of</w:t>
      </w:r>
      <w:r w:rsidRPr="0089630F">
        <w:rPr>
          <w:rFonts w:ascii="Calibri" w:hAnsi="Calibri" w:cs="Calibri"/>
          <w:color w:val="231F20"/>
          <w:spacing w:val="-11"/>
          <w:lang w:val="en-GB"/>
        </w:rPr>
        <w:t xml:space="preserve"> </w:t>
      </w:r>
      <w:r w:rsidRPr="0089630F">
        <w:rPr>
          <w:rFonts w:ascii="Calibri" w:hAnsi="Calibri" w:cs="Calibri"/>
          <w:color w:val="231F20"/>
          <w:lang w:val="en-GB"/>
        </w:rPr>
        <w:t>all</w:t>
      </w:r>
      <w:r w:rsidRPr="0089630F">
        <w:rPr>
          <w:rFonts w:ascii="Calibri" w:hAnsi="Calibri" w:cs="Calibri"/>
          <w:color w:val="231F20"/>
          <w:spacing w:val="-12"/>
          <w:lang w:val="en-GB"/>
        </w:rPr>
        <w:t xml:space="preserve"> </w:t>
      </w:r>
      <w:r w:rsidRPr="0089630F">
        <w:rPr>
          <w:rFonts w:ascii="Calibri" w:hAnsi="Calibri" w:cs="Calibri"/>
          <w:color w:val="231F20"/>
          <w:lang w:val="en-GB"/>
        </w:rPr>
        <w:t>State</w:t>
      </w:r>
      <w:r w:rsidRPr="0089630F">
        <w:rPr>
          <w:rFonts w:ascii="Calibri" w:hAnsi="Calibri" w:cs="Calibri"/>
          <w:color w:val="231F20"/>
          <w:spacing w:val="-11"/>
          <w:lang w:val="en-GB"/>
        </w:rPr>
        <w:t xml:space="preserve"> </w:t>
      </w:r>
      <w:r w:rsidRPr="0089630F">
        <w:rPr>
          <w:rFonts w:ascii="Calibri" w:hAnsi="Calibri" w:cs="Calibri"/>
          <w:color w:val="231F20"/>
          <w:lang w:val="en-GB"/>
        </w:rPr>
        <w:t>institutions</w:t>
      </w:r>
      <w:r w:rsidRPr="0089630F">
        <w:rPr>
          <w:rFonts w:ascii="Calibri" w:hAnsi="Calibri" w:cs="Calibri"/>
          <w:color w:val="231F20"/>
          <w:spacing w:val="-12"/>
          <w:lang w:val="en-GB"/>
        </w:rPr>
        <w:t xml:space="preserve"> </w:t>
      </w:r>
      <w:r w:rsidRPr="0089630F">
        <w:rPr>
          <w:rFonts w:ascii="Calibri" w:hAnsi="Calibri" w:cs="Calibri"/>
          <w:color w:val="231F20"/>
          <w:lang w:val="en-GB"/>
        </w:rPr>
        <w:t>of</w:t>
      </w:r>
      <w:r w:rsidRPr="0089630F">
        <w:rPr>
          <w:rFonts w:ascii="Calibri" w:hAnsi="Calibri" w:cs="Calibri"/>
          <w:color w:val="231F20"/>
          <w:spacing w:val="-11"/>
          <w:lang w:val="en-GB"/>
        </w:rPr>
        <w:t xml:space="preserve"> </w:t>
      </w:r>
      <w:r w:rsidRPr="0089630F">
        <w:rPr>
          <w:rFonts w:ascii="Calibri" w:hAnsi="Calibri" w:cs="Calibri"/>
          <w:color w:val="231F20"/>
          <w:lang w:val="en-GB"/>
        </w:rPr>
        <w:t>an</w:t>
      </w:r>
      <w:r w:rsidRPr="0089630F">
        <w:rPr>
          <w:rFonts w:ascii="Calibri" w:hAnsi="Calibri" w:cs="Calibri"/>
          <w:color w:val="231F20"/>
          <w:spacing w:val="-12"/>
          <w:lang w:val="en-GB"/>
        </w:rPr>
        <w:t xml:space="preserve"> </w:t>
      </w:r>
      <w:r w:rsidRPr="0089630F">
        <w:rPr>
          <w:rFonts w:ascii="Calibri" w:hAnsi="Calibri" w:cs="Calibri"/>
          <w:color w:val="231F20"/>
          <w:lang w:val="en-GB"/>
        </w:rPr>
        <w:t>executive</w:t>
      </w:r>
      <w:r w:rsidRPr="0089630F">
        <w:rPr>
          <w:rFonts w:ascii="Calibri" w:hAnsi="Calibri" w:cs="Calibri"/>
          <w:color w:val="231F20"/>
          <w:spacing w:val="-11"/>
          <w:lang w:val="en-GB"/>
        </w:rPr>
        <w:t xml:space="preserve"> </w:t>
      </w:r>
      <w:r w:rsidRPr="0089630F">
        <w:rPr>
          <w:rFonts w:ascii="Calibri" w:hAnsi="Calibri" w:cs="Calibri"/>
          <w:color w:val="231F20"/>
          <w:lang w:val="en-GB"/>
        </w:rPr>
        <w:t>and</w:t>
      </w:r>
      <w:r w:rsidRPr="0089630F">
        <w:rPr>
          <w:rFonts w:ascii="Calibri" w:hAnsi="Calibri" w:cs="Calibri"/>
          <w:color w:val="231F20"/>
          <w:spacing w:val="-12"/>
          <w:lang w:val="en-GB"/>
        </w:rPr>
        <w:t xml:space="preserve"> </w:t>
      </w:r>
      <w:r w:rsidRPr="0089630F">
        <w:rPr>
          <w:rFonts w:ascii="Calibri" w:hAnsi="Calibri" w:cs="Calibri"/>
          <w:color w:val="231F20"/>
          <w:lang w:val="en-GB"/>
        </w:rPr>
        <w:t>legislative</w:t>
      </w:r>
      <w:r w:rsidRPr="0089630F">
        <w:rPr>
          <w:rFonts w:ascii="Calibri" w:hAnsi="Calibri" w:cs="Calibri"/>
          <w:color w:val="231F20"/>
          <w:spacing w:val="-11"/>
          <w:lang w:val="en-GB"/>
        </w:rPr>
        <w:t xml:space="preserve"> </w:t>
      </w:r>
      <w:r w:rsidRPr="0089630F">
        <w:rPr>
          <w:rFonts w:ascii="Calibri" w:hAnsi="Calibri" w:cs="Calibri"/>
          <w:color w:val="231F20"/>
          <w:lang w:val="en-GB"/>
        </w:rPr>
        <w:t>nature</w:t>
      </w:r>
      <w:r w:rsidRPr="0089630F">
        <w:rPr>
          <w:rFonts w:ascii="Calibri" w:hAnsi="Calibri" w:cs="Calibri"/>
          <w:color w:val="231F20"/>
          <w:spacing w:val="-11"/>
          <w:lang w:val="en-GB"/>
        </w:rPr>
        <w:t xml:space="preserve"> </w:t>
      </w:r>
      <w:r w:rsidRPr="0089630F">
        <w:rPr>
          <w:rFonts w:ascii="Calibri" w:hAnsi="Calibri" w:cs="Calibri"/>
          <w:color w:val="231F20"/>
          <w:lang w:val="en-GB"/>
        </w:rPr>
        <w:t>at</w:t>
      </w:r>
      <w:r w:rsidRPr="0089630F">
        <w:rPr>
          <w:rFonts w:ascii="Calibri" w:hAnsi="Calibri" w:cs="Calibri"/>
          <w:color w:val="231F20"/>
          <w:spacing w:val="-12"/>
          <w:lang w:val="en-GB"/>
        </w:rPr>
        <w:t xml:space="preserve"> </w:t>
      </w:r>
      <w:r w:rsidRPr="0089630F">
        <w:rPr>
          <w:rFonts w:ascii="Calibri" w:hAnsi="Calibri" w:cs="Calibri"/>
          <w:color w:val="231F20"/>
          <w:lang w:val="en-GB"/>
        </w:rPr>
        <w:t>national</w:t>
      </w:r>
      <w:r w:rsidR="009F3B42" w:rsidRPr="0089630F">
        <w:rPr>
          <w:rFonts w:ascii="Calibri" w:hAnsi="Calibri" w:cs="Calibri"/>
          <w:color w:val="231F20"/>
          <w:lang w:val="en-GB"/>
        </w:rPr>
        <w:t xml:space="preserve"> and local levels and a clear articulation of responsibilities across public and private stakeholders, including business and academia</w:t>
      </w:r>
      <w:r w:rsidR="0086125D" w:rsidRPr="0089630F">
        <w:rPr>
          <w:rFonts w:ascii="Calibri" w:hAnsi="Calibri" w:cs="Calibri"/>
          <w:color w:val="231F20"/>
          <w:lang w:val="en-GB"/>
        </w:rPr>
        <w:t xml:space="preserve">, to ensure mutual outreach, partnership, complementarity in roles and accountability and </w:t>
      </w:r>
      <w:proofErr w:type="gramStart"/>
      <w:r w:rsidR="0086125D" w:rsidRPr="0089630F">
        <w:rPr>
          <w:rFonts w:ascii="Calibri" w:hAnsi="Calibri" w:cs="Calibri"/>
          <w:color w:val="231F20"/>
          <w:lang w:val="en-GB"/>
        </w:rPr>
        <w:t>follow-up;</w:t>
      </w:r>
      <w:proofErr w:type="gramEnd"/>
    </w:p>
    <w:p w14:paraId="32EAA13B" w14:textId="24328B00" w:rsidR="001F382C" w:rsidRPr="0089630F" w:rsidRDefault="00027517" w:rsidP="000C1DDE">
      <w:pPr>
        <w:pStyle w:val="ListParagraph"/>
        <w:widowControl w:val="0"/>
        <w:numPr>
          <w:ilvl w:val="0"/>
          <w:numId w:val="2"/>
        </w:numPr>
        <w:tabs>
          <w:tab w:val="left" w:pos="2162"/>
        </w:tabs>
        <w:autoSpaceDE w:val="0"/>
        <w:autoSpaceDN w:val="0"/>
        <w:spacing w:before="120" w:after="120" w:line="240" w:lineRule="auto"/>
        <w:ind w:left="714" w:right="6" w:hanging="357"/>
        <w:contextualSpacing w:val="0"/>
        <w:jc w:val="both"/>
        <w:rPr>
          <w:rFonts w:cstheme="minorHAnsi"/>
          <w:lang w:val="en-GB"/>
        </w:rPr>
      </w:pPr>
      <w:r w:rsidRPr="0089630F">
        <w:rPr>
          <w:rFonts w:cstheme="minorHAnsi"/>
          <w:lang w:val="en-GB"/>
        </w:rPr>
        <w:t xml:space="preserve">While the enabling, guiding and coordinating role of national and federal State Governments remain </w:t>
      </w:r>
      <w:r w:rsidR="00AE3899" w:rsidRPr="0089630F">
        <w:rPr>
          <w:rFonts w:cstheme="minorHAnsi"/>
          <w:lang w:val="en-GB"/>
        </w:rPr>
        <w:t xml:space="preserve">essential, it is necessary to empower local authorities and local communities to reduce disaster risk, including through resources, incentives and decision-making responsibilities, as </w:t>
      </w:r>
      <w:proofErr w:type="gramStart"/>
      <w:r w:rsidR="00AE3899" w:rsidRPr="0089630F">
        <w:rPr>
          <w:rFonts w:cstheme="minorHAnsi"/>
          <w:lang w:val="en-GB"/>
        </w:rPr>
        <w:t>appropriate;</w:t>
      </w:r>
      <w:proofErr w:type="gramEnd"/>
    </w:p>
    <w:p w14:paraId="6B4C51EA" w14:textId="52C8D674" w:rsidR="00D86799" w:rsidRPr="0089630F" w:rsidRDefault="5B3D87CF" w:rsidP="000C1DDE">
      <w:pPr>
        <w:pStyle w:val="ListParagraph"/>
        <w:widowControl w:val="0"/>
        <w:numPr>
          <w:ilvl w:val="0"/>
          <w:numId w:val="2"/>
        </w:numPr>
        <w:tabs>
          <w:tab w:val="left" w:pos="2162"/>
        </w:tabs>
        <w:autoSpaceDE w:val="0"/>
        <w:autoSpaceDN w:val="0"/>
        <w:spacing w:before="120" w:after="120" w:line="240" w:lineRule="auto"/>
        <w:ind w:left="714" w:right="6" w:hanging="357"/>
        <w:contextualSpacing w:val="0"/>
        <w:jc w:val="both"/>
        <w:rPr>
          <w:rFonts w:cstheme="minorHAnsi"/>
          <w:lang w:val="en-GB"/>
        </w:rPr>
      </w:pPr>
      <w:r w:rsidRPr="0089630F">
        <w:rPr>
          <w:rFonts w:cstheme="minorHAnsi"/>
          <w:lang w:val="en-GB"/>
        </w:rPr>
        <w:t>Disaster risk reduction requires a multi-hazard approach and inclusive risk-informed decision-making based on the open exchange and dissemination of disaggregated data, including by sex, age</w:t>
      </w:r>
      <w:r w:rsidR="00AE3899" w:rsidRPr="0089630F">
        <w:rPr>
          <w:rFonts w:cstheme="minorHAnsi"/>
          <w:lang w:val="en-GB"/>
        </w:rPr>
        <w:t xml:space="preserve"> and</w:t>
      </w:r>
      <w:r w:rsidRPr="0089630F">
        <w:rPr>
          <w:rFonts w:cstheme="minorHAnsi"/>
          <w:lang w:val="en-GB"/>
        </w:rPr>
        <w:t xml:space="preserve"> disability, as well as on easily accessible, up-to-date, comprehensible, science-based, </w:t>
      </w:r>
      <w:r w:rsidRPr="00F55912">
        <w:rPr>
          <w:rFonts w:cstheme="minorHAnsi"/>
          <w:lang w:val="en-GB"/>
        </w:rPr>
        <w:t>non-sensitive</w:t>
      </w:r>
      <w:r w:rsidRPr="0089630F">
        <w:rPr>
          <w:rFonts w:cstheme="minorHAnsi"/>
          <w:lang w:val="en-GB"/>
        </w:rPr>
        <w:t xml:space="preserve"> risk information, complemented by traditional </w:t>
      </w:r>
      <w:proofErr w:type="gramStart"/>
      <w:r w:rsidRPr="0089630F">
        <w:rPr>
          <w:rFonts w:cstheme="minorHAnsi"/>
          <w:lang w:val="en-GB"/>
        </w:rPr>
        <w:t>knowledge;</w:t>
      </w:r>
      <w:proofErr w:type="gramEnd"/>
    </w:p>
    <w:p w14:paraId="00EDD89C" w14:textId="0722D7B7" w:rsidR="008C5996" w:rsidRPr="0089630F" w:rsidRDefault="5B3D87CF" w:rsidP="000C1DDE">
      <w:pPr>
        <w:pStyle w:val="ListParagraph"/>
        <w:widowControl w:val="0"/>
        <w:numPr>
          <w:ilvl w:val="0"/>
          <w:numId w:val="2"/>
        </w:numPr>
        <w:tabs>
          <w:tab w:val="left" w:pos="2162"/>
        </w:tabs>
        <w:autoSpaceDE w:val="0"/>
        <w:autoSpaceDN w:val="0"/>
        <w:spacing w:before="120" w:after="120" w:line="240" w:lineRule="auto"/>
        <w:ind w:left="714" w:right="6" w:hanging="357"/>
        <w:contextualSpacing w:val="0"/>
        <w:jc w:val="both"/>
        <w:rPr>
          <w:rFonts w:cstheme="minorHAnsi"/>
          <w:lang w:val="en-GB"/>
        </w:rPr>
      </w:pPr>
      <w:r w:rsidRPr="0089630F">
        <w:rPr>
          <w:rFonts w:cstheme="minorHAnsi"/>
          <w:lang w:val="en-GB"/>
        </w:rPr>
        <w:t xml:space="preserve">The development, strengthening and implementation of relevant policies, plans, practices and mechanisms need to aim at coherence, as appropriate, across sustainable development and growth, food security, health and safety, climate change and variability, environmental </w:t>
      </w:r>
      <w:r w:rsidRPr="0089630F">
        <w:rPr>
          <w:rFonts w:cstheme="minorHAnsi"/>
          <w:lang w:val="en-GB"/>
        </w:rPr>
        <w:lastRenderedPageBreak/>
        <w:t xml:space="preserve">management and disaster risk reduction agendas. Disaster risk reduction is essential to achieve sustainable </w:t>
      </w:r>
      <w:proofErr w:type="gramStart"/>
      <w:r w:rsidRPr="0089630F">
        <w:rPr>
          <w:rFonts w:cstheme="minorHAnsi"/>
          <w:lang w:val="en-GB"/>
        </w:rPr>
        <w:t>development;</w:t>
      </w:r>
      <w:proofErr w:type="gramEnd"/>
    </w:p>
    <w:p w14:paraId="71CDA9AE" w14:textId="2A116D58" w:rsidR="008C5996" w:rsidRPr="0089630F" w:rsidRDefault="00AE3899" w:rsidP="000C1DDE">
      <w:pPr>
        <w:pStyle w:val="ListParagraph"/>
        <w:widowControl w:val="0"/>
        <w:numPr>
          <w:ilvl w:val="0"/>
          <w:numId w:val="2"/>
        </w:numPr>
        <w:tabs>
          <w:tab w:val="left" w:pos="2162"/>
        </w:tabs>
        <w:autoSpaceDE w:val="0"/>
        <w:autoSpaceDN w:val="0"/>
        <w:spacing w:before="120" w:after="120" w:line="240" w:lineRule="auto"/>
        <w:ind w:left="714" w:right="6" w:hanging="357"/>
        <w:contextualSpacing w:val="0"/>
        <w:jc w:val="both"/>
        <w:rPr>
          <w:rFonts w:cstheme="minorHAnsi"/>
          <w:lang w:val="en-GB"/>
        </w:rPr>
      </w:pPr>
      <w:r w:rsidRPr="0089630F">
        <w:rPr>
          <w:rFonts w:cstheme="minorHAnsi"/>
          <w:lang w:val="en-GB"/>
        </w:rPr>
        <w:t xml:space="preserve">While the drivers of disaster risk may be local, national, regional or global in scope, disaster risks have local and specific characteristics that must be understood for the determination of measures to reduce disaster </w:t>
      </w:r>
      <w:proofErr w:type="gramStart"/>
      <w:r w:rsidRPr="0089630F">
        <w:rPr>
          <w:rFonts w:cstheme="minorHAnsi"/>
          <w:lang w:val="en-GB"/>
        </w:rPr>
        <w:t>risk;</w:t>
      </w:r>
      <w:proofErr w:type="gramEnd"/>
    </w:p>
    <w:p w14:paraId="04E35C2E" w14:textId="15CC6280" w:rsidR="008C5996" w:rsidRPr="0089630F" w:rsidRDefault="00AE3899" w:rsidP="000C1DDE">
      <w:pPr>
        <w:pStyle w:val="ListParagraph"/>
        <w:widowControl w:val="0"/>
        <w:numPr>
          <w:ilvl w:val="0"/>
          <w:numId w:val="2"/>
        </w:numPr>
        <w:tabs>
          <w:tab w:val="left" w:pos="2162"/>
        </w:tabs>
        <w:autoSpaceDE w:val="0"/>
        <w:autoSpaceDN w:val="0"/>
        <w:spacing w:before="120" w:after="120" w:line="240" w:lineRule="auto"/>
        <w:ind w:left="714" w:right="6" w:hanging="357"/>
        <w:contextualSpacing w:val="0"/>
        <w:jc w:val="both"/>
        <w:rPr>
          <w:rFonts w:cstheme="minorHAnsi"/>
          <w:lang w:val="en-GB"/>
        </w:rPr>
      </w:pPr>
      <w:r w:rsidRPr="0089630F">
        <w:rPr>
          <w:rFonts w:cstheme="minorHAnsi"/>
          <w:lang w:val="en-GB"/>
        </w:rPr>
        <w:t xml:space="preserve">Addressing underlying disaster risk factors through disaster risk-informed public and private investments is more cost-effective than primary reliance on post-disaster response and recovery, and contributes to sustainable </w:t>
      </w:r>
      <w:proofErr w:type="gramStart"/>
      <w:r w:rsidRPr="0089630F">
        <w:rPr>
          <w:rFonts w:cstheme="minorHAnsi"/>
          <w:lang w:val="en-GB"/>
        </w:rPr>
        <w:t>development;</w:t>
      </w:r>
      <w:proofErr w:type="gramEnd"/>
    </w:p>
    <w:p w14:paraId="2DDB3D8F" w14:textId="64D5AF8F" w:rsidR="009B6218" w:rsidRPr="0089630F" w:rsidRDefault="0222B207" w:rsidP="000C1DDE">
      <w:pPr>
        <w:pStyle w:val="ListParagraph"/>
        <w:widowControl w:val="0"/>
        <w:numPr>
          <w:ilvl w:val="0"/>
          <w:numId w:val="2"/>
        </w:numPr>
        <w:tabs>
          <w:tab w:val="left" w:pos="2162"/>
        </w:tabs>
        <w:autoSpaceDE w:val="0"/>
        <w:autoSpaceDN w:val="0"/>
        <w:spacing w:before="120" w:after="120" w:line="240" w:lineRule="auto"/>
        <w:ind w:left="714" w:right="6" w:hanging="357"/>
        <w:contextualSpacing w:val="0"/>
        <w:jc w:val="both"/>
        <w:rPr>
          <w:rFonts w:cstheme="minorHAnsi"/>
          <w:lang w:val="en-GB"/>
        </w:rPr>
      </w:pPr>
      <w:r w:rsidRPr="0089630F">
        <w:rPr>
          <w:rFonts w:cstheme="minorHAnsi"/>
          <w:lang w:val="en-GB"/>
        </w:rPr>
        <w:t xml:space="preserve">In </w:t>
      </w:r>
      <w:r w:rsidR="00331BFB" w:rsidRPr="0089630F">
        <w:rPr>
          <w:rFonts w:cstheme="minorHAnsi"/>
          <w:lang w:val="en-GB"/>
        </w:rPr>
        <w:t>the</w:t>
      </w:r>
      <w:r w:rsidR="008B5B78" w:rsidRPr="0089630F">
        <w:rPr>
          <w:rFonts w:cstheme="minorHAnsi"/>
          <w:lang w:val="en-GB"/>
        </w:rPr>
        <w:t xml:space="preserve"> </w:t>
      </w:r>
      <w:r w:rsidRPr="0089630F">
        <w:rPr>
          <w:rFonts w:cstheme="minorHAnsi"/>
          <w:lang w:val="en-GB"/>
        </w:rPr>
        <w:t>post-disaster recovery, rehabilitation and reconstruction</w:t>
      </w:r>
      <w:r w:rsidR="00331BFB" w:rsidRPr="0089630F">
        <w:rPr>
          <w:rFonts w:cstheme="minorHAnsi"/>
          <w:lang w:val="en-GB"/>
        </w:rPr>
        <w:t xml:space="preserve"> phase</w:t>
      </w:r>
      <w:r w:rsidR="009B6218" w:rsidRPr="0089630F">
        <w:rPr>
          <w:rFonts w:cstheme="minorHAnsi"/>
          <w:lang w:val="en-GB"/>
        </w:rPr>
        <w:t>,</w:t>
      </w:r>
      <w:r w:rsidRPr="0089630F">
        <w:rPr>
          <w:rFonts w:cstheme="minorHAnsi"/>
          <w:lang w:val="en-GB"/>
        </w:rPr>
        <w:t xml:space="preserve"> it is critical to prevent the creation of and to reduce disaster risk by “Building Back Better” and increasing public education and awareness of disaster </w:t>
      </w:r>
      <w:proofErr w:type="gramStart"/>
      <w:r w:rsidRPr="0089630F">
        <w:rPr>
          <w:rFonts w:cstheme="minorHAnsi"/>
          <w:lang w:val="en-GB"/>
        </w:rPr>
        <w:t>risk;</w:t>
      </w:r>
      <w:proofErr w:type="gramEnd"/>
    </w:p>
    <w:p w14:paraId="3EA56E51" w14:textId="35F1DE80" w:rsidR="00543B5F" w:rsidRPr="0089630F" w:rsidRDefault="00BD0729" w:rsidP="000C1DDE">
      <w:pPr>
        <w:pStyle w:val="ListParagraph"/>
        <w:widowControl w:val="0"/>
        <w:numPr>
          <w:ilvl w:val="0"/>
          <w:numId w:val="2"/>
        </w:numPr>
        <w:tabs>
          <w:tab w:val="left" w:pos="2162"/>
        </w:tabs>
        <w:autoSpaceDE w:val="0"/>
        <w:autoSpaceDN w:val="0"/>
        <w:spacing w:before="120" w:after="120" w:line="240" w:lineRule="auto"/>
        <w:ind w:left="714" w:right="6" w:hanging="357"/>
        <w:contextualSpacing w:val="0"/>
        <w:jc w:val="both"/>
        <w:rPr>
          <w:rFonts w:cstheme="minorHAnsi"/>
          <w:lang w:val="en-GB"/>
        </w:rPr>
      </w:pPr>
      <w:r w:rsidRPr="0089630F">
        <w:rPr>
          <w:rFonts w:cstheme="minorHAnsi"/>
          <w:lang w:val="en-GB"/>
        </w:rPr>
        <w:t xml:space="preserve">An effective and meaningful global partnership and the further strengthening of international cooperation, including the fulfilment of respective commitments of official development assistance by developed countries, are essential for effective disaster risk </w:t>
      </w:r>
      <w:proofErr w:type="gramStart"/>
      <w:r w:rsidRPr="0089630F">
        <w:rPr>
          <w:rFonts w:cstheme="minorHAnsi"/>
          <w:lang w:val="en-GB"/>
        </w:rPr>
        <w:t>management;</w:t>
      </w:r>
      <w:proofErr w:type="gramEnd"/>
    </w:p>
    <w:p w14:paraId="15F67CA3" w14:textId="5C6F9471" w:rsidR="00BD0729" w:rsidRPr="0089630F" w:rsidRDefault="0222B207" w:rsidP="000C1DDE">
      <w:pPr>
        <w:pStyle w:val="ListParagraph"/>
        <w:widowControl w:val="0"/>
        <w:numPr>
          <w:ilvl w:val="0"/>
          <w:numId w:val="2"/>
        </w:numPr>
        <w:tabs>
          <w:tab w:val="left" w:pos="2162"/>
        </w:tabs>
        <w:autoSpaceDE w:val="0"/>
        <w:autoSpaceDN w:val="0"/>
        <w:spacing w:before="120" w:after="120" w:line="240" w:lineRule="auto"/>
        <w:ind w:left="714" w:right="6" w:hanging="357"/>
        <w:contextualSpacing w:val="0"/>
        <w:jc w:val="both"/>
        <w:rPr>
          <w:rFonts w:cstheme="minorHAnsi"/>
          <w:lang w:val="en-GB"/>
        </w:rPr>
      </w:pPr>
      <w:r w:rsidRPr="0089630F">
        <w:rPr>
          <w:rFonts w:cstheme="minorHAnsi"/>
          <w:lang w:val="en-GB"/>
        </w:rPr>
        <w:t xml:space="preserve">Developing countries, </w:t>
      </w:r>
      <w:proofErr w:type="gramStart"/>
      <w:r w:rsidRPr="0089630F">
        <w:rPr>
          <w:rFonts w:cstheme="minorHAnsi"/>
          <w:lang w:val="en-GB"/>
        </w:rPr>
        <w:t>in particular the</w:t>
      </w:r>
      <w:proofErr w:type="gramEnd"/>
      <w:r w:rsidRPr="0089630F">
        <w:rPr>
          <w:rFonts w:cstheme="minorHAnsi"/>
          <w:lang w:val="en-GB"/>
        </w:rPr>
        <w:t xml:space="preserve"> least developed countries, small island developing States, landlocked developing countries and African countries, as well as middle-income and other countries facing specific disaster risk challenges, need adequate, sustainable and timely provision of support, including through finance, technology transfer and capacity-building from developed countries and partners tailored to their needs and priorities, </w:t>
      </w:r>
      <w:r w:rsidR="002E6BB9" w:rsidRPr="0089630F">
        <w:rPr>
          <w:rFonts w:cstheme="minorHAnsi"/>
          <w:lang w:val="en-GB"/>
        </w:rPr>
        <w:t>as identified</w:t>
      </w:r>
      <w:r w:rsidRPr="0089630F">
        <w:rPr>
          <w:rFonts w:cstheme="minorHAnsi"/>
          <w:lang w:val="en-GB"/>
        </w:rPr>
        <w:t xml:space="preserve"> by them.</w:t>
      </w:r>
    </w:p>
    <w:p w14:paraId="4C047763" w14:textId="64690C52" w:rsidR="005D0E73" w:rsidRPr="0089630F" w:rsidRDefault="0061666C" w:rsidP="005D0E73">
      <w:pPr>
        <w:pStyle w:val="Heading3"/>
        <w:numPr>
          <w:ilvl w:val="0"/>
          <w:numId w:val="1"/>
        </w:numPr>
        <w:tabs>
          <w:tab w:val="num" w:pos="360"/>
        </w:tabs>
        <w:spacing w:before="360" w:after="120"/>
        <w:ind w:left="357" w:hanging="357"/>
        <w:rPr>
          <w:color w:val="C00000"/>
          <w:sz w:val="28"/>
          <w:szCs w:val="28"/>
        </w:rPr>
      </w:pPr>
      <w:r w:rsidRPr="0089630F">
        <w:rPr>
          <w:color w:val="C00000"/>
          <w:sz w:val="28"/>
          <w:szCs w:val="28"/>
        </w:rPr>
        <w:t xml:space="preserve">Preparation </w:t>
      </w:r>
      <w:r w:rsidR="004230F4" w:rsidRPr="0089630F">
        <w:rPr>
          <w:color w:val="C00000"/>
          <w:sz w:val="28"/>
          <w:szCs w:val="28"/>
        </w:rPr>
        <w:t>and Coordination of Stakeholder</w:t>
      </w:r>
      <w:r w:rsidRPr="0089630F">
        <w:rPr>
          <w:color w:val="C00000"/>
          <w:sz w:val="28"/>
          <w:szCs w:val="28"/>
        </w:rPr>
        <w:t xml:space="preserve"> Consultations</w:t>
      </w:r>
    </w:p>
    <w:p w14:paraId="6264EBB4" w14:textId="667049E3" w:rsidR="005D0E73" w:rsidRPr="0089630F" w:rsidRDefault="005D0E73" w:rsidP="005D0E73">
      <w:pPr>
        <w:spacing w:before="120" w:after="120"/>
        <w:jc w:val="both"/>
        <w:rPr>
          <w:lang w:val="en-GB"/>
        </w:rPr>
      </w:pPr>
      <w:r w:rsidRPr="0089630F">
        <w:rPr>
          <w:lang w:val="en-GB"/>
        </w:rPr>
        <w:t xml:space="preserve">Stakeholder consultations, review and stocktaking for the MTR SF should be conducted in a structured </w:t>
      </w:r>
      <w:r w:rsidR="00BA3BC4" w:rsidRPr="0089630F">
        <w:rPr>
          <w:lang w:val="en-GB"/>
        </w:rPr>
        <w:t>manner and</w:t>
      </w:r>
      <w:r w:rsidRPr="0089630F">
        <w:rPr>
          <w:lang w:val="en-GB"/>
        </w:rPr>
        <w:t xml:space="preserve"> may entail a range of activities including those coordinated by UNDRR, those jointly coordinated by UNDRR and stakeholders, and those that are independently organised by stakeholders. </w:t>
      </w:r>
    </w:p>
    <w:p w14:paraId="54B330F4" w14:textId="77777777" w:rsidR="005D0E73" w:rsidRPr="0089630F" w:rsidRDefault="005D0E73" w:rsidP="005D0E73">
      <w:pPr>
        <w:spacing w:before="120" w:after="120"/>
        <w:jc w:val="both"/>
        <w:rPr>
          <w:lang w:val="en-GB"/>
        </w:rPr>
      </w:pPr>
      <w:r w:rsidRPr="0089630F">
        <w:rPr>
          <w:lang w:val="en-GB"/>
        </w:rPr>
        <w:t xml:space="preserve">They will draw on lessons </w:t>
      </w:r>
      <w:proofErr w:type="gramStart"/>
      <w:r w:rsidRPr="0089630F">
        <w:rPr>
          <w:lang w:val="en-GB"/>
        </w:rPr>
        <w:t>learned</w:t>
      </w:r>
      <w:proofErr w:type="gramEnd"/>
      <w:r w:rsidRPr="0089630F">
        <w:rPr>
          <w:lang w:val="en-GB"/>
        </w:rPr>
        <w:t xml:space="preserve"> and knowledge generated to identify new opportunities for accelerated and amplified realisation of the goal and outcome of the Sendai Framework, including new modalities of implementation and possible policy proposals, while formulating forward-looking narratives, scenarios and recommendations.</w:t>
      </w:r>
    </w:p>
    <w:p w14:paraId="2E858048" w14:textId="725C03ED" w:rsidR="00812C9E" w:rsidRPr="0089630F" w:rsidRDefault="005D0E73" w:rsidP="005D0E73">
      <w:pPr>
        <w:rPr>
          <w:lang w:val="en-GB"/>
        </w:rPr>
      </w:pPr>
      <w:r w:rsidRPr="0089630F">
        <w:rPr>
          <w:lang w:val="en-GB"/>
        </w:rPr>
        <w:t xml:space="preserve">Stakeholder consultation, review and stocktaking activities </w:t>
      </w:r>
      <w:r w:rsidR="00C3383B" w:rsidRPr="0089630F">
        <w:rPr>
          <w:lang w:val="en-GB"/>
        </w:rPr>
        <w:t xml:space="preserve">have been </w:t>
      </w:r>
      <w:r w:rsidR="007B46E9" w:rsidRPr="0089630F">
        <w:rPr>
          <w:lang w:val="en-GB"/>
        </w:rPr>
        <w:t>developed in collaboration with stake</w:t>
      </w:r>
      <w:r w:rsidR="0081340A" w:rsidRPr="0089630F">
        <w:rPr>
          <w:lang w:val="en-GB"/>
        </w:rPr>
        <w:t xml:space="preserve">holders – including </w:t>
      </w:r>
      <w:r w:rsidR="007B46E9" w:rsidRPr="0089630F">
        <w:rPr>
          <w:lang w:val="en-GB"/>
        </w:rPr>
        <w:t>the UNDRR Stakeholder Engagement Mechanism (SEM)</w:t>
      </w:r>
      <w:r w:rsidR="0081340A" w:rsidRPr="0089630F">
        <w:rPr>
          <w:lang w:val="en-GB"/>
        </w:rPr>
        <w:t xml:space="preserve"> – and</w:t>
      </w:r>
      <w:r w:rsidR="007B46E9" w:rsidRPr="0089630F">
        <w:rPr>
          <w:lang w:val="en-GB"/>
        </w:rPr>
        <w:t xml:space="preserve"> </w:t>
      </w:r>
      <w:r w:rsidRPr="0089630F">
        <w:rPr>
          <w:lang w:val="en-GB"/>
        </w:rPr>
        <w:t>include:</w:t>
      </w:r>
    </w:p>
    <w:p w14:paraId="02FE732C" w14:textId="47165164" w:rsidR="00FD55FB" w:rsidRPr="0089630F" w:rsidRDefault="00FD55FB" w:rsidP="0031451A">
      <w:pPr>
        <w:pStyle w:val="ListParagraph"/>
        <w:numPr>
          <w:ilvl w:val="1"/>
          <w:numId w:val="1"/>
        </w:numPr>
        <w:spacing w:before="120" w:after="120"/>
        <w:ind w:left="426" w:hanging="426"/>
        <w:contextualSpacing w:val="0"/>
        <w:jc w:val="both"/>
        <w:rPr>
          <w:lang w:val="en-GB"/>
        </w:rPr>
      </w:pPr>
      <w:r w:rsidRPr="0089630F">
        <w:rPr>
          <w:color w:val="2E74B5" w:themeColor="accent5" w:themeShade="BF"/>
          <w:lang w:val="en-GB"/>
        </w:rPr>
        <w:t>Open Survey</w:t>
      </w:r>
      <w:r w:rsidRPr="0089630F">
        <w:rPr>
          <w:lang w:val="en-GB"/>
        </w:rPr>
        <w:t>.</w:t>
      </w:r>
      <w:r w:rsidR="00B408F7" w:rsidRPr="0089630F">
        <w:rPr>
          <w:lang w:val="en-GB"/>
        </w:rPr>
        <w:t xml:space="preserve"> </w:t>
      </w:r>
      <w:r w:rsidR="00AD55CD" w:rsidRPr="0089630F">
        <w:rPr>
          <w:lang w:val="en-GB"/>
        </w:rPr>
        <w:t xml:space="preserve">This will be an open survey coordinated by UNDRR and will be available online to anyone, </w:t>
      </w:r>
      <w:r w:rsidR="00AD55CD" w:rsidRPr="0089630F">
        <w:rPr>
          <w:i/>
          <w:lang w:val="en-GB"/>
        </w:rPr>
        <w:t>inter alia,</w:t>
      </w:r>
      <w:r w:rsidR="00AD55CD" w:rsidRPr="0089630F">
        <w:rPr>
          <w:lang w:val="en-GB"/>
        </w:rPr>
        <w:t xml:space="preserve"> individuals, organisations, platforms, networks that are interested in contributing to the MTR SF process</w:t>
      </w:r>
      <w:r w:rsidRPr="0089630F">
        <w:rPr>
          <w:lang w:val="en-GB"/>
        </w:rPr>
        <w:t xml:space="preserve">. </w:t>
      </w:r>
    </w:p>
    <w:p w14:paraId="3E3D48F0" w14:textId="634702D2" w:rsidR="00AD55CD" w:rsidRPr="0089630F" w:rsidRDefault="006F4CCF" w:rsidP="0031451A">
      <w:pPr>
        <w:pStyle w:val="ListParagraph"/>
        <w:numPr>
          <w:ilvl w:val="1"/>
          <w:numId w:val="1"/>
        </w:numPr>
        <w:spacing w:before="120" w:after="120"/>
        <w:ind w:left="426" w:hanging="426"/>
        <w:contextualSpacing w:val="0"/>
        <w:jc w:val="both"/>
        <w:rPr>
          <w:lang w:val="en-GB"/>
        </w:rPr>
      </w:pPr>
      <w:r w:rsidRPr="0089630F">
        <w:rPr>
          <w:color w:val="2E75B5"/>
          <w:lang w:val="en-GB"/>
        </w:rPr>
        <w:t>E-Consultations</w:t>
      </w:r>
      <w:r w:rsidRPr="0089630F">
        <w:rPr>
          <w:lang w:val="en-GB"/>
        </w:rPr>
        <w:t>:</w:t>
      </w:r>
      <w:r w:rsidRPr="0089630F">
        <w:rPr>
          <w:color w:val="000000"/>
          <w:lang w:val="en-GB"/>
        </w:rPr>
        <w:t xml:space="preserve"> </w:t>
      </w:r>
      <w:r w:rsidR="0094142B" w:rsidRPr="0089630F">
        <w:rPr>
          <w:color w:val="000000"/>
          <w:lang w:val="en-GB"/>
        </w:rPr>
        <w:t xml:space="preserve">An online </w:t>
      </w:r>
      <w:r w:rsidRPr="0089630F">
        <w:rPr>
          <w:lang w:val="en-GB"/>
        </w:rPr>
        <w:t>digital platform</w:t>
      </w:r>
      <w:r w:rsidR="000C1DDE">
        <w:rPr>
          <w:rFonts w:ascii="ZWAdobeF" w:hAnsi="ZWAdobeF" w:cs="ZWAdobeF"/>
          <w:sz w:val="2"/>
          <w:szCs w:val="2"/>
          <w:lang w:val="en-GB"/>
        </w:rPr>
        <w:t>3F</w:t>
      </w:r>
      <w:r w:rsidRPr="0089630F">
        <w:rPr>
          <w:rStyle w:val="FootnoteReference"/>
          <w:lang w:val="en-GB"/>
        </w:rPr>
        <w:footnoteReference w:id="5"/>
      </w:r>
      <w:r w:rsidRPr="0089630F">
        <w:rPr>
          <w:lang w:val="en-GB"/>
        </w:rPr>
        <w:t xml:space="preserve"> </w:t>
      </w:r>
      <w:r w:rsidR="00A12476" w:rsidRPr="0089630F">
        <w:rPr>
          <w:lang w:val="en-GB"/>
        </w:rPr>
        <w:t>will be provide</w:t>
      </w:r>
      <w:r w:rsidR="00FE6E5A" w:rsidRPr="0089630F">
        <w:rPr>
          <w:lang w:val="en-GB"/>
        </w:rPr>
        <w:t>d by the UNDRR</w:t>
      </w:r>
      <w:r w:rsidR="00A12476" w:rsidRPr="0089630F">
        <w:rPr>
          <w:lang w:val="en-GB"/>
        </w:rPr>
        <w:t xml:space="preserve"> </w:t>
      </w:r>
      <w:r w:rsidR="006311BC" w:rsidRPr="0089630F">
        <w:rPr>
          <w:lang w:val="en-GB"/>
        </w:rPr>
        <w:t>for the MTR SF</w:t>
      </w:r>
      <w:r w:rsidR="00A12476" w:rsidRPr="0089630F">
        <w:rPr>
          <w:lang w:val="en-GB"/>
        </w:rPr>
        <w:t xml:space="preserve"> which</w:t>
      </w:r>
      <w:r w:rsidR="006311BC" w:rsidRPr="0089630F">
        <w:rPr>
          <w:lang w:val="en-GB"/>
        </w:rPr>
        <w:t xml:space="preserve"> will facilitate virtual</w:t>
      </w:r>
      <w:r w:rsidRPr="0089630F">
        <w:rPr>
          <w:lang w:val="en-GB"/>
        </w:rPr>
        <w:t xml:space="preserve"> engagement and collaboration with all stakeholder groups and at all levels across the international development landscape. </w:t>
      </w:r>
      <w:r w:rsidR="002C6220" w:rsidRPr="0089630F">
        <w:rPr>
          <w:lang w:val="en-GB"/>
        </w:rPr>
        <w:t>It will facilitate</w:t>
      </w:r>
      <w:r w:rsidRPr="0089630F">
        <w:rPr>
          <w:lang w:val="en-GB"/>
        </w:rPr>
        <w:t xml:space="preserve"> development practitioners</w:t>
      </w:r>
      <w:r w:rsidR="0022533A" w:rsidRPr="0089630F">
        <w:rPr>
          <w:lang w:val="en-GB"/>
        </w:rPr>
        <w:t>,</w:t>
      </w:r>
      <w:r w:rsidRPr="0089630F">
        <w:rPr>
          <w:lang w:val="en-GB"/>
        </w:rPr>
        <w:t xml:space="preserve"> advocates</w:t>
      </w:r>
      <w:r w:rsidR="0022533A" w:rsidRPr="0089630F">
        <w:rPr>
          <w:lang w:val="en-GB"/>
        </w:rPr>
        <w:t>, and policy makers</w:t>
      </w:r>
      <w:r w:rsidRPr="0089630F">
        <w:rPr>
          <w:lang w:val="en-GB"/>
        </w:rPr>
        <w:t xml:space="preserve"> from the public, private, and civil society sectors to </w:t>
      </w:r>
      <w:r w:rsidR="002C6220" w:rsidRPr="0089630F">
        <w:rPr>
          <w:lang w:val="en-GB"/>
        </w:rPr>
        <w:t xml:space="preserve">be able to </w:t>
      </w:r>
      <w:r w:rsidRPr="0089630F">
        <w:rPr>
          <w:lang w:val="en-GB"/>
        </w:rPr>
        <w:t>think out loud, learn from each other, connect, collaborate, and co-create</w:t>
      </w:r>
      <w:r w:rsidR="00AD55CD" w:rsidRPr="0089630F">
        <w:rPr>
          <w:lang w:val="en-GB"/>
        </w:rPr>
        <w:t>.</w:t>
      </w:r>
    </w:p>
    <w:p w14:paraId="483E430E" w14:textId="2F392B5A" w:rsidR="00AD55CD" w:rsidRPr="0089630F" w:rsidRDefault="00411695" w:rsidP="0031451A">
      <w:pPr>
        <w:pStyle w:val="ListParagraph"/>
        <w:numPr>
          <w:ilvl w:val="1"/>
          <w:numId w:val="1"/>
        </w:numPr>
        <w:spacing w:before="120" w:after="120"/>
        <w:ind w:left="426" w:hanging="426"/>
        <w:contextualSpacing w:val="0"/>
        <w:jc w:val="both"/>
        <w:rPr>
          <w:lang w:val="en-GB"/>
        </w:rPr>
      </w:pPr>
      <w:r w:rsidRPr="0089630F">
        <w:rPr>
          <w:color w:val="2E75B5"/>
          <w:lang w:val="en-GB"/>
        </w:rPr>
        <w:lastRenderedPageBreak/>
        <w:t>Focus Groups:</w:t>
      </w:r>
      <w:r w:rsidRPr="0089630F">
        <w:rPr>
          <w:lang w:val="en-GB"/>
        </w:rPr>
        <w:t xml:space="preserve"> These will bring together different stakeholders for deeper deliberations on specific thematic topics, and</w:t>
      </w:r>
      <w:r w:rsidR="001D7885" w:rsidRPr="0089630F">
        <w:rPr>
          <w:lang w:val="en-GB"/>
        </w:rPr>
        <w:t>/or</w:t>
      </w:r>
      <w:r w:rsidRPr="0089630F">
        <w:rPr>
          <w:lang w:val="en-GB"/>
        </w:rPr>
        <w:t xml:space="preserve"> regional contexts</w:t>
      </w:r>
      <w:r w:rsidR="001D7885" w:rsidRPr="0089630F">
        <w:rPr>
          <w:lang w:val="en-GB"/>
        </w:rPr>
        <w:t xml:space="preserve">, critical </w:t>
      </w:r>
      <w:r w:rsidR="0084208A">
        <w:rPr>
          <w:lang w:val="en-GB"/>
        </w:rPr>
        <w:t>to</w:t>
      </w:r>
      <w:r w:rsidR="0084208A" w:rsidRPr="0089630F">
        <w:rPr>
          <w:lang w:val="en-GB"/>
        </w:rPr>
        <w:t xml:space="preserve"> </w:t>
      </w:r>
      <w:r w:rsidR="008B7E8B">
        <w:rPr>
          <w:lang w:val="en-GB"/>
        </w:rPr>
        <w:t xml:space="preserve">the </w:t>
      </w:r>
      <w:r w:rsidR="001D7885" w:rsidRPr="0089630F">
        <w:rPr>
          <w:lang w:val="en-GB"/>
        </w:rPr>
        <w:t>scope of the MTR SF</w:t>
      </w:r>
      <w:r w:rsidRPr="0089630F">
        <w:rPr>
          <w:lang w:val="en-GB"/>
        </w:rPr>
        <w:t xml:space="preserve"> with the intention to produce more focused outcomes.</w:t>
      </w:r>
    </w:p>
    <w:p w14:paraId="711B461E" w14:textId="186FF807" w:rsidR="00411695" w:rsidRPr="0089630F" w:rsidRDefault="00EA0C0D" w:rsidP="0031451A">
      <w:pPr>
        <w:pStyle w:val="ListParagraph"/>
        <w:numPr>
          <w:ilvl w:val="1"/>
          <w:numId w:val="1"/>
        </w:numPr>
        <w:spacing w:before="120" w:after="120"/>
        <w:ind w:left="426" w:hanging="426"/>
        <w:contextualSpacing w:val="0"/>
        <w:jc w:val="both"/>
        <w:rPr>
          <w:lang w:val="en-GB"/>
        </w:rPr>
      </w:pPr>
      <w:r w:rsidRPr="0089630F">
        <w:rPr>
          <w:color w:val="2E75B5"/>
          <w:lang w:val="en-GB"/>
        </w:rPr>
        <w:t>Literature Review</w:t>
      </w:r>
      <w:r w:rsidRPr="0089630F">
        <w:rPr>
          <w:lang w:val="en-GB"/>
        </w:rPr>
        <w:t xml:space="preserve">: This will produce a synthesis of, </w:t>
      </w:r>
      <w:r w:rsidRPr="0089630F">
        <w:rPr>
          <w:i/>
          <w:lang w:val="en-GB"/>
        </w:rPr>
        <w:t>inter alia,</w:t>
      </w:r>
      <w:r w:rsidRPr="0089630F">
        <w:rPr>
          <w:lang w:val="en-GB"/>
        </w:rPr>
        <w:t xml:space="preserve"> various reports and documents produced by stakeholders that are relevant to the scope </w:t>
      </w:r>
      <w:r w:rsidR="008B7E8B">
        <w:rPr>
          <w:lang w:val="en-GB"/>
        </w:rPr>
        <w:t xml:space="preserve">of the </w:t>
      </w:r>
      <w:r w:rsidRPr="0089630F">
        <w:rPr>
          <w:lang w:val="en-GB"/>
        </w:rPr>
        <w:t>MTR SF.</w:t>
      </w:r>
    </w:p>
    <w:p w14:paraId="39627646" w14:textId="1E0F5191" w:rsidR="00EA0C0D" w:rsidRPr="0089630F" w:rsidRDefault="00F866DC" w:rsidP="0031451A">
      <w:pPr>
        <w:pStyle w:val="ListParagraph"/>
        <w:numPr>
          <w:ilvl w:val="1"/>
          <w:numId w:val="1"/>
        </w:numPr>
        <w:spacing w:before="120" w:after="120"/>
        <w:ind w:left="426" w:hanging="426"/>
        <w:contextualSpacing w:val="0"/>
        <w:jc w:val="both"/>
        <w:rPr>
          <w:lang w:val="en-GB"/>
        </w:rPr>
      </w:pPr>
      <w:r w:rsidRPr="0089630F">
        <w:rPr>
          <w:color w:val="2E75B5"/>
          <w:lang w:val="en-GB"/>
        </w:rPr>
        <w:t>Bilateral Interviews</w:t>
      </w:r>
      <w:r w:rsidRPr="0089630F">
        <w:rPr>
          <w:lang w:val="en-GB"/>
        </w:rPr>
        <w:t xml:space="preserve">: UNDRR will conduct bilateral interviews with key constituencies identified in the </w:t>
      </w:r>
      <w:r w:rsidR="00AF26C3" w:rsidRPr="0089630F">
        <w:rPr>
          <w:lang w:val="en-GB"/>
        </w:rPr>
        <w:t>Sendai Framework</w:t>
      </w:r>
      <w:r w:rsidRPr="0089630F">
        <w:rPr>
          <w:lang w:val="en-GB"/>
        </w:rPr>
        <w:t xml:space="preserve"> and those critical to the scope of the MTR, with the specific intention to gather the unique views and inputs of these stakeholders.  </w:t>
      </w:r>
    </w:p>
    <w:p w14:paraId="4CB8D6F5" w14:textId="48C3D819" w:rsidR="000B131A" w:rsidRPr="0089630F" w:rsidRDefault="00B04468" w:rsidP="0031451A">
      <w:pPr>
        <w:pStyle w:val="ListParagraph"/>
        <w:numPr>
          <w:ilvl w:val="1"/>
          <w:numId w:val="1"/>
        </w:numPr>
        <w:spacing w:before="120" w:after="120"/>
        <w:ind w:left="426" w:hanging="426"/>
        <w:contextualSpacing w:val="0"/>
        <w:jc w:val="both"/>
        <w:rPr>
          <w:lang w:val="en-GB"/>
        </w:rPr>
      </w:pPr>
      <w:r>
        <w:rPr>
          <w:color w:val="2E75B5"/>
          <w:lang w:val="en-GB"/>
        </w:rPr>
        <w:t xml:space="preserve">Multistakeholder </w:t>
      </w:r>
      <w:r w:rsidR="0097037D">
        <w:rPr>
          <w:color w:val="2E75B5"/>
          <w:lang w:val="en-GB"/>
        </w:rPr>
        <w:t>roundtable</w:t>
      </w:r>
      <w:r w:rsidR="000B131A" w:rsidRPr="0089630F">
        <w:rPr>
          <w:color w:val="2E75B5"/>
          <w:lang w:val="en-GB"/>
        </w:rPr>
        <w:t xml:space="preserve">: </w:t>
      </w:r>
      <w:r w:rsidR="000B131A" w:rsidRPr="0089630F">
        <w:rPr>
          <w:lang w:val="en-GB"/>
        </w:rPr>
        <w:t>UNDRR will organis</w:t>
      </w:r>
      <w:r w:rsidR="00062F15">
        <w:rPr>
          <w:lang w:val="en-GB"/>
        </w:rPr>
        <w:t>e</w:t>
      </w:r>
      <w:r w:rsidR="000B131A" w:rsidRPr="0089630F">
        <w:rPr>
          <w:lang w:val="en-GB"/>
        </w:rPr>
        <w:t xml:space="preserve"> </w:t>
      </w:r>
      <w:r w:rsidR="00E03276">
        <w:rPr>
          <w:lang w:val="en-GB"/>
        </w:rPr>
        <w:t xml:space="preserve">a </w:t>
      </w:r>
      <w:r w:rsidR="005A27AF">
        <w:rPr>
          <w:lang w:val="en-GB"/>
        </w:rPr>
        <w:t xml:space="preserve">roundtable discussion </w:t>
      </w:r>
      <w:r w:rsidR="00062F15">
        <w:rPr>
          <w:lang w:val="en-GB"/>
        </w:rPr>
        <w:t xml:space="preserve">in the latter half of the MTR SF </w:t>
      </w:r>
      <w:r w:rsidR="000B131A" w:rsidRPr="0089630F">
        <w:rPr>
          <w:lang w:val="en-GB"/>
        </w:rPr>
        <w:t xml:space="preserve">on a specific topic of interest and relevance to stakeholders </w:t>
      </w:r>
      <w:r w:rsidR="00044877">
        <w:rPr>
          <w:lang w:val="en-GB"/>
        </w:rPr>
        <w:t>as identified through the review process</w:t>
      </w:r>
      <w:r w:rsidR="000B131A" w:rsidRPr="0089630F">
        <w:rPr>
          <w:lang w:val="en-GB"/>
        </w:rPr>
        <w:t>. It will draw on diverse sources of knowledge, scientific</w:t>
      </w:r>
      <w:r w:rsidR="00193BB2">
        <w:rPr>
          <w:lang w:val="en-GB"/>
        </w:rPr>
        <w:t>, local, traditional</w:t>
      </w:r>
      <w:r w:rsidR="000B131A" w:rsidRPr="0089630F">
        <w:rPr>
          <w:lang w:val="en-GB"/>
        </w:rPr>
        <w:t xml:space="preserve"> and indigenous</w:t>
      </w:r>
      <w:r w:rsidR="00193BB2">
        <w:rPr>
          <w:lang w:val="en-GB"/>
        </w:rPr>
        <w:t xml:space="preserve"> knowledge</w:t>
      </w:r>
      <w:r w:rsidR="000B131A" w:rsidRPr="0089630F">
        <w:rPr>
          <w:lang w:val="en-GB"/>
        </w:rPr>
        <w:t>, and engage all relevant stakeholders</w:t>
      </w:r>
      <w:r w:rsidR="009665C2" w:rsidRPr="0089630F">
        <w:rPr>
          <w:lang w:val="en-GB"/>
        </w:rPr>
        <w:t>.</w:t>
      </w:r>
    </w:p>
    <w:p w14:paraId="50F81C0E" w14:textId="157EC7D7" w:rsidR="00DD4BC9" w:rsidRPr="00E40E04" w:rsidRDefault="007A5355" w:rsidP="0031451A">
      <w:pPr>
        <w:pStyle w:val="ListParagraph"/>
        <w:numPr>
          <w:ilvl w:val="1"/>
          <w:numId w:val="1"/>
        </w:numPr>
        <w:spacing w:before="120" w:after="120"/>
        <w:ind w:left="426" w:hanging="426"/>
        <w:contextualSpacing w:val="0"/>
        <w:jc w:val="both"/>
        <w:rPr>
          <w:lang w:val="en-GB"/>
        </w:rPr>
      </w:pPr>
      <w:r w:rsidRPr="0089630F">
        <w:rPr>
          <w:color w:val="2E75B5"/>
          <w:lang w:val="en-GB"/>
        </w:rPr>
        <w:t>Organisational</w:t>
      </w:r>
      <w:r w:rsidR="00DD4BC9" w:rsidRPr="0089630F">
        <w:rPr>
          <w:color w:val="2E75B5"/>
          <w:lang w:val="en-GB"/>
        </w:rPr>
        <w:t xml:space="preserve"> Review and Stocktaking: </w:t>
      </w:r>
      <w:r w:rsidR="007A06CC" w:rsidRPr="0089630F">
        <w:rPr>
          <w:lang w:val="en-GB"/>
        </w:rPr>
        <w:t>Individual organisations are encouraged to undertake internal consultations</w:t>
      </w:r>
      <w:r w:rsidR="00F71401" w:rsidRPr="0089630F">
        <w:rPr>
          <w:lang w:val="en-GB"/>
        </w:rPr>
        <w:t xml:space="preserve"> and</w:t>
      </w:r>
      <w:r w:rsidR="007A06CC" w:rsidRPr="0089630F">
        <w:rPr>
          <w:lang w:val="en-GB"/>
        </w:rPr>
        <w:t xml:space="preserve"> review</w:t>
      </w:r>
      <w:r w:rsidR="00F71401" w:rsidRPr="0089630F">
        <w:rPr>
          <w:lang w:val="en-GB"/>
        </w:rPr>
        <w:t xml:space="preserve"> in the context of the </w:t>
      </w:r>
      <w:proofErr w:type="gramStart"/>
      <w:r w:rsidR="00F71401" w:rsidRPr="0089630F">
        <w:rPr>
          <w:lang w:val="en-GB"/>
        </w:rPr>
        <w:t>MTR SF,</w:t>
      </w:r>
      <w:r w:rsidR="007A06CC" w:rsidRPr="0089630F">
        <w:rPr>
          <w:lang w:val="en-GB"/>
        </w:rPr>
        <w:t xml:space="preserve"> and</w:t>
      </w:r>
      <w:proofErr w:type="gramEnd"/>
      <w:r w:rsidR="007A06CC" w:rsidRPr="0089630F">
        <w:rPr>
          <w:lang w:val="en-GB"/>
        </w:rPr>
        <w:t xml:space="preserve"> </w:t>
      </w:r>
      <w:r w:rsidR="00F71401" w:rsidRPr="0089630F">
        <w:rPr>
          <w:lang w:val="en-GB"/>
        </w:rPr>
        <w:t>are invited to develop organization-specific reports</w:t>
      </w:r>
      <w:r w:rsidR="009C2245" w:rsidRPr="0089630F">
        <w:rPr>
          <w:lang w:val="en-GB"/>
        </w:rPr>
        <w:t xml:space="preserve"> as formal inputs to the MTR SF. Organisations may wish to draw from the core, strategic and guiding questions provided in </w:t>
      </w:r>
      <w:r w:rsidR="00DE3A07" w:rsidRPr="0089630F">
        <w:rPr>
          <w:lang w:val="en-GB"/>
        </w:rPr>
        <w:t xml:space="preserve">this document, as well as </w:t>
      </w:r>
      <w:r w:rsidR="009C2245" w:rsidRPr="0089630F">
        <w:rPr>
          <w:lang w:val="en-GB"/>
        </w:rPr>
        <w:t xml:space="preserve">the Concept Note </w:t>
      </w:r>
      <w:r w:rsidR="00DE3A07" w:rsidRPr="0089630F">
        <w:rPr>
          <w:lang w:val="en-GB"/>
        </w:rPr>
        <w:t xml:space="preserve">of </w:t>
      </w:r>
      <w:r w:rsidR="00DE3A07" w:rsidRPr="00E40E04">
        <w:rPr>
          <w:lang w:val="en-GB"/>
        </w:rPr>
        <w:t>the MTR SF</w:t>
      </w:r>
      <w:r w:rsidR="001C2DE3" w:rsidRPr="00E40E04">
        <w:rPr>
          <w:lang w:val="en-GB"/>
        </w:rPr>
        <w:t xml:space="preserve"> and</w:t>
      </w:r>
      <w:r w:rsidR="00DE3A07" w:rsidRPr="00E40E04">
        <w:rPr>
          <w:lang w:val="en-GB"/>
        </w:rPr>
        <w:t xml:space="preserve"> the Guidance for Member States</w:t>
      </w:r>
      <w:r w:rsidR="001C2DE3" w:rsidRPr="00E40E04">
        <w:rPr>
          <w:lang w:val="en-GB"/>
        </w:rPr>
        <w:t xml:space="preserve">. </w:t>
      </w:r>
    </w:p>
    <w:p w14:paraId="01206ED1" w14:textId="364417D1" w:rsidR="009665C2" w:rsidRPr="00E40E04" w:rsidRDefault="00F564A0" w:rsidP="0031451A">
      <w:pPr>
        <w:pStyle w:val="ListParagraph"/>
        <w:numPr>
          <w:ilvl w:val="1"/>
          <w:numId w:val="1"/>
        </w:numPr>
        <w:spacing w:before="120" w:after="120"/>
        <w:ind w:left="426" w:hanging="426"/>
        <w:contextualSpacing w:val="0"/>
        <w:jc w:val="both"/>
        <w:rPr>
          <w:lang w:val="en-GB"/>
        </w:rPr>
      </w:pPr>
      <w:r>
        <w:rPr>
          <w:color w:val="2E75B5"/>
          <w:lang w:val="en-GB"/>
        </w:rPr>
        <w:t>Inde</w:t>
      </w:r>
      <w:r w:rsidR="00623A45">
        <w:rPr>
          <w:color w:val="2E75B5"/>
          <w:lang w:val="en-GB"/>
        </w:rPr>
        <w:t>pendently organised activities</w:t>
      </w:r>
      <w:r w:rsidR="007A5355" w:rsidRPr="00E40E04">
        <w:rPr>
          <w:color w:val="2E75B5"/>
          <w:lang w:val="en-GB"/>
        </w:rPr>
        <w:t xml:space="preserve">: </w:t>
      </w:r>
      <w:r w:rsidR="007A5355" w:rsidRPr="00E40E04">
        <w:rPr>
          <w:lang w:val="en-GB"/>
        </w:rPr>
        <w:t>These will provide stakeholders an opportunity to independently organise activities (through an elaborated framework</w:t>
      </w:r>
      <w:r w:rsidR="000C1DDE">
        <w:rPr>
          <w:rFonts w:ascii="ZWAdobeF" w:hAnsi="ZWAdobeF" w:cs="ZWAdobeF"/>
          <w:sz w:val="2"/>
          <w:szCs w:val="2"/>
          <w:lang w:val="en-GB"/>
        </w:rPr>
        <w:t>4F</w:t>
      </w:r>
      <w:r w:rsidR="007A5355" w:rsidRPr="00E40E04">
        <w:rPr>
          <w:vertAlign w:val="superscript"/>
          <w:lang w:val="en-GB"/>
        </w:rPr>
        <w:footnoteReference w:id="6"/>
      </w:r>
      <w:r w:rsidR="007A5355" w:rsidRPr="00E40E04">
        <w:rPr>
          <w:lang w:val="en-GB"/>
        </w:rPr>
        <w:t>) by any interested organisation</w:t>
      </w:r>
      <w:r w:rsidR="00A57141" w:rsidRPr="00E40E04">
        <w:rPr>
          <w:lang w:val="en-GB"/>
        </w:rPr>
        <w:t>(s)</w:t>
      </w:r>
      <w:r w:rsidR="007A5355" w:rsidRPr="00E40E04">
        <w:rPr>
          <w:lang w:val="en-GB"/>
        </w:rPr>
        <w:t>/entity</w:t>
      </w:r>
      <w:r w:rsidR="00A57141" w:rsidRPr="00E40E04">
        <w:rPr>
          <w:lang w:val="en-GB"/>
        </w:rPr>
        <w:t>(</w:t>
      </w:r>
      <w:proofErr w:type="spellStart"/>
      <w:r w:rsidR="00A57141" w:rsidRPr="00E40E04">
        <w:rPr>
          <w:lang w:val="en-GB"/>
        </w:rPr>
        <w:t>ies</w:t>
      </w:r>
      <w:proofErr w:type="spellEnd"/>
      <w:r w:rsidR="00A57141" w:rsidRPr="00E40E04">
        <w:rPr>
          <w:lang w:val="en-GB"/>
        </w:rPr>
        <w:t>)</w:t>
      </w:r>
      <w:r w:rsidR="007A5355" w:rsidRPr="00E40E04">
        <w:rPr>
          <w:lang w:val="en-GB"/>
        </w:rPr>
        <w:t xml:space="preserve"> </w:t>
      </w:r>
      <w:r w:rsidR="003D125A">
        <w:rPr>
          <w:lang w:val="en-GB"/>
        </w:rPr>
        <w:t xml:space="preserve">with greater flexibility of configuration, </w:t>
      </w:r>
      <w:proofErr w:type="gramStart"/>
      <w:r w:rsidR="003D125A">
        <w:rPr>
          <w:lang w:val="en-GB"/>
        </w:rPr>
        <w:t>so as</w:t>
      </w:r>
      <w:r w:rsidR="003D125A" w:rsidRPr="00E40E04">
        <w:rPr>
          <w:lang w:val="en-GB"/>
        </w:rPr>
        <w:t xml:space="preserve"> to</w:t>
      </w:r>
      <w:proofErr w:type="gramEnd"/>
      <w:r w:rsidR="003D125A" w:rsidRPr="00E40E04">
        <w:rPr>
          <w:lang w:val="en-GB"/>
        </w:rPr>
        <w:t xml:space="preserve"> inform the MTR SF</w:t>
      </w:r>
      <w:r w:rsidR="003D125A">
        <w:rPr>
          <w:lang w:val="en-GB"/>
        </w:rPr>
        <w:t xml:space="preserve"> </w:t>
      </w:r>
      <w:r w:rsidR="007A5355" w:rsidRPr="00E40E04">
        <w:rPr>
          <w:lang w:val="en-GB"/>
        </w:rPr>
        <w:t>They could be focused on any topic of relevance or importance</w:t>
      </w:r>
      <w:r w:rsidR="000A2824" w:rsidRPr="00E40E04">
        <w:rPr>
          <w:lang w:val="en-GB"/>
        </w:rPr>
        <w:t>.</w:t>
      </w:r>
    </w:p>
    <w:p w14:paraId="358D62B1" w14:textId="31F0E572" w:rsidR="005A5C50" w:rsidRPr="0089630F" w:rsidRDefault="00E52838" w:rsidP="0031451A">
      <w:pPr>
        <w:pStyle w:val="ListParagraph"/>
        <w:numPr>
          <w:ilvl w:val="1"/>
          <w:numId w:val="1"/>
        </w:numPr>
        <w:spacing w:before="120" w:after="120"/>
        <w:ind w:left="426" w:hanging="426"/>
        <w:contextualSpacing w:val="0"/>
        <w:jc w:val="both"/>
        <w:rPr>
          <w:lang w:val="en-GB"/>
        </w:rPr>
      </w:pPr>
      <w:r w:rsidRPr="00E40E04">
        <w:rPr>
          <w:color w:val="2E75B5"/>
          <w:lang w:val="en-GB"/>
        </w:rPr>
        <w:t xml:space="preserve">Thematic Commissioned Studies: </w:t>
      </w:r>
      <w:r w:rsidRPr="00E40E04">
        <w:rPr>
          <w:lang w:val="en-GB"/>
        </w:rPr>
        <w:t>UNDRR will identify a limited number of dedicated studies on a</w:t>
      </w:r>
      <w:r w:rsidRPr="0089630F">
        <w:rPr>
          <w:lang w:val="en-GB"/>
        </w:rPr>
        <w:t xml:space="preserve"> specific topic or theme, for which insight and material additional to that generated by other aspects of the MTR SF is deemed necessary. Stakeholders may be invited to contribute or lead enquiry and development of selected studies.</w:t>
      </w:r>
    </w:p>
    <w:p w14:paraId="019F1CF6" w14:textId="7E9CF99B" w:rsidR="000A2824" w:rsidRPr="0089630F" w:rsidRDefault="000A2824" w:rsidP="0031451A">
      <w:pPr>
        <w:pStyle w:val="ListParagraph"/>
        <w:numPr>
          <w:ilvl w:val="1"/>
          <w:numId w:val="1"/>
        </w:numPr>
        <w:spacing w:before="120" w:after="120"/>
        <w:ind w:left="426" w:hanging="426"/>
        <w:contextualSpacing w:val="0"/>
        <w:jc w:val="both"/>
        <w:rPr>
          <w:lang w:val="en-GB"/>
        </w:rPr>
      </w:pPr>
      <w:r w:rsidRPr="0089630F">
        <w:rPr>
          <w:color w:val="2E75B5"/>
          <w:lang w:val="en-GB"/>
        </w:rPr>
        <w:t xml:space="preserve">Voluntary Commitments: </w:t>
      </w:r>
      <w:r w:rsidRPr="0089630F">
        <w:rPr>
          <w:lang w:val="en-GB"/>
        </w:rPr>
        <w:t xml:space="preserve">The UNDRR will produce the second Sendai Framework Voluntary Commitments Synthesis and Analysis Report in 2022 as an input to both the MTR SF and the </w:t>
      </w:r>
      <w:r w:rsidR="00B7527B" w:rsidRPr="0089630F">
        <w:rPr>
          <w:lang w:val="en-GB"/>
        </w:rPr>
        <w:t>Global Platform on Disaster Risk Reduction 2022 (GP</w:t>
      </w:r>
      <w:r w:rsidR="00C26664" w:rsidRPr="0089630F">
        <w:rPr>
          <w:lang w:val="en-GB"/>
        </w:rPr>
        <w:t>2022)</w:t>
      </w:r>
      <w:r w:rsidRPr="0089630F">
        <w:rPr>
          <w:lang w:val="en-GB"/>
        </w:rPr>
        <w:t xml:space="preserve">. Reflecting the important role that non-State stakeholders have in supporting States to implement the Sendai Framework, stakeholders’ input to the review of </w:t>
      </w:r>
      <w:r w:rsidR="00671D7D" w:rsidRPr="0089630F">
        <w:rPr>
          <w:lang w:val="en-GB"/>
        </w:rPr>
        <w:t xml:space="preserve">the </w:t>
      </w:r>
      <w:r w:rsidRPr="0089630F">
        <w:rPr>
          <w:lang w:val="en-GB"/>
        </w:rPr>
        <w:t>realisation of the Sendai Framework Voluntary Commitments (SFVC) will be essential.</w:t>
      </w:r>
    </w:p>
    <w:p w14:paraId="63C54AEA" w14:textId="22D7E474" w:rsidR="00AF5FC4" w:rsidRPr="0089630F" w:rsidRDefault="00AF5FC4" w:rsidP="00051D2C">
      <w:pPr>
        <w:pStyle w:val="ListParagraph"/>
        <w:spacing w:before="120" w:after="120"/>
        <w:ind w:left="357"/>
        <w:contextualSpacing w:val="0"/>
        <w:jc w:val="both"/>
        <w:rPr>
          <w:rStyle w:val="eop"/>
          <w:shd w:val="clear" w:color="auto" w:fill="FFFFFF"/>
          <w:lang w:val="en-GB"/>
        </w:rPr>
      </w:pPr>
    </w:p>
    <w:p w14:paraId="0114F3A7" w14:textId="77777777" w:rsidR="0089630F" w:rsidRDefault="0089630F" w:rsidP="0089630F">
      <w:pPr>
        <w:spacing w:before="120" w:after="120"/>
        <w:jc w:val="both"/>
        <w:rPr>
          <w:lang w:val="en-GB"/>
        </w:rPr>
      </w:pPr>
      <w:r>
        <w:rPr>
          <w:lang w:val="en-GB"/>
        </w:rPr>
        <w:t>Stakeholders</w:t>
      </w:r>
      <w:r w:rsidR="00AF5FC4" w:rsidRPr="0089630F">
        <w:rPr>
          <w:lang w:val="en-GB"/>
        </w:rPr>
        <w:t xml:space="preserve"> are encouraged to commence consultations</w:t>
      </w:r>
      <w:r>
        <w:rPr>
          <w:lang w:val="en-GB"/>
        </w:rPr>
        <w:t>, review and stocktaking</w:t>
      </w:r>
      <w:r w:rsidR="00AF5FC4" w:rsidRPr="0089630F">
        <w:rPr>
          <w:lang w:val="en-GB"/>
        </w:rPr>
        <w:t xml:space="preserve"> at their earliest convenience and are recommended to have concluded by 31 August 2022, </w:t>
      </w:r>
      <w:proofErr w:type="gramStart"/>
      <w:r w:rsidR="00AF5FC4" w:rsidRPr="0089630F">
        <w:rPr>
          <w:lang w:val="en-GB"/>
        </w:rPr>
        <w:t>so as to</w:t>
      </w:r>
      <w:proofErr w:type="gramEnd"/>
      <w:r w:rsidR="00AF5FC4" w:rsidRPr="0089630F">
        <w:rPr>
          <w:lang w:val="en-GB"/>
        </w:rPr>
        <w:t xml:space="preserve"> meet the deadline for submission of the </w:t>
      </w:r>
      <w:r>
        <w:rPr>
          <w:lang w:val="en-GB"/>
        </w:rPr>
        <w:t>stakeholder</w:t>
      </w:r>
      <w:r w:rsidR="00AF5FC4" w:rsidRPr="0089630F">
        <w:rPr>
          <w:lang w:val="en-GB"/>
        </w:rPr>
        <w:t xml:space="preserve"> reports</w:t>
      </w:r>
      <w:r>
        <w:rPr>
          <w:lang w:val="en-GB"/>
        </w:rPr>
        <w:t xml:space="preserve"> and inputs to</w:t>
      </w:r>
      <w:r w:rsidR="00AF5FC4" w:rsidRPr="0089630F">
        <w:rPr>
          <w:lang w:val="en-GB"/>
        </w:rPr>
        <w:t xml:space="preserve"> the MTR SF of 30 September 2022. </w:t>
      </w:r>
    </w:p>
    <w:p w14:paraId="4F63E9C4" w14:textId="293BF35C" w:rsidR="00AF5FC4" w:rsidRPr="0089630F" w:rsidRDefault="0089630F" w:rsidP="0089630F">
      <w:pPr>
        <w:spacing w:before="120" w:after="120"/>
        <w:jc w:val="both"/>
        <w:rPr>
          <w:lang w:val="en-GB"/>
        </w:rPr>
      </w:pPr>
      <w:r>
        <w:rPr>
          <w:lang w:val="en-GB"/>
        </w:rPr>
        <w:lastRenderedPageBreak/>
        <w:t>Stakeholders</w:t>
      </w:r>
      <w:r w:rsidR="00AF5FC4" w:rsidRPr="0089630F">
        <w:rPr>
          <w:lang w:val="en-GB"/>
        </w:rPr>
        <w:t xml:space="preserve"> are encouraged to avoid duplication and draw on synergies with existing consultations, surveys, data, reports and platforms. The </w:t>
      </w:r>
      <w:r w:rsidR="00C26664" w:rsidRPr="0089630F">
        <w:rPr>
          <w:lang w:val="en-GB"/>
        </w:rPr>
        <w:t>GP</w:t>
      </w:r>
      <w:r w:rsidR="00AF5FC4" w:rsidRPr="0089630F">
        <w:rPr>
          <w:lang w:val="en-GB"/>
        </w:rPr>
        <w:t xml:space="preserve">2022 presents an important opportunity for </w:t>
      </w:r>
      <w:r>
        <w:rPr>
          <w:lang w:val="en-GB"/>
        </w:rPr>
        <w:t>Stakeholders</w:t>
      </w:r>
      <w:r w:rsidR="00AF5FC4" w:rsidRPr="0089630F">
        <w:rPr>
          <w:lang w:val="en-GB"/>
        </w:rPr>
        <w:t xml:space="preserve"> to present preliminary findings of the MTR SF, and advance consultations, review and recommendations. Consultations and review should be aligned with processes related to the 2030 Agenda for Sustainable Development, the Paris Stocktake, as well as of other agendas and frameworks.</w:t>
      </w:r>
    </w:p>
    <w:p w14:paraId="48D0B00D" w14:textId="02B72352" w:rsidR="00F75ADB" w:rsidRPr="0089630F" w:rsidRDefault="00BA246A" w:rsidP="005D234C">
      <w:pPr>
        <w:pStyle w:val="ListParagraph"/>
        <w:numPr>
          <w:ilvl w:val="0"/>
          <w:numId w:val="1"/>
        </w:numPr>
        <w:spacing w:before="360" w:after="120"/>
        <w:ind w:left="357" w:hanging="357"/>
        <w:contextualSpacing w:val="0"/>
        <w:jc w:val="both"/>
        <w:rPr>
          <w:rFonts w:asciiTheme="majorHAnsi" w:hAnsiTheme="majorHAnsi" w:cstheme="majorHAnsi"/>
          <w:color w:val="C00000"/>
          <w:sz w:val="28"/>
          <w:szCs w:val="28"/>
          <w:lang w:val="en-GB"/>
        </w:rPr>
      </w:pPr>
      <w:r w:rsidRPr="0089630F">
        <w:rPr>
          <w:rFonts w:asciiTheme="majorHAnsi" w:hAnsiTheme="majorHAnsi" w:cstheme="majorHAnsi"/>
          <w:color w:val="C00000"/>
          <w:sz w:val="28"/>
          <w:szCs w:val="28"/>
          <w:lang w:val="en-GB"/>
        </w:rPr>
        <w:t xml:space="preserve">Participation </w:t>
      </w:r>
    </w:p>
    <w:p w14:paraId="08A33F1D" w14:textId="28AF240C" w:rsidR="00825E63" w:rsidRPr="0089630F" w:rsidRDefault="00825E63" w:rsidP="00812C9E">
      <w:pPr>
        <w:pStyle w:val="ListParagraph"/>
        <w:numPr>
          <w:ilvl w:val="1"/>
          <w:numId w:val="1"/>
        </w:numPr>
        <w:spacing w:before="120" w:after="120"/>
        <w:ind w:left="357" w:hanging="357"/>
        <w:contextualSpacing w:val="0"/>
        <w:jc w:val="both"/>
        <w:rPr>
          <w:lang w:val="en-GB"/>
        </w:rPr>
      </w:pPr>
      <w:r w:rsidRPr="0089630F">
        <w:rPr>
          <w:rFonts w:cstheme="minorHAnsi"/>
          <w:lang w:val="en-GB"/>
        </w:rPr>
        <w:t>One of the guiding principles of the Sendai Framework is the requirement for all-of-society engagement and partnership. The Sendai Framework also calls upon ‘States to encourage</w:t>
      </w:r>
      <w:proofErr w:type="gramStart"/>
      <w:r w:rsidRPr="0089630F">
        <w:rPr>
          <w:rFonts w:cstheme="minorHAnsi"/>
          <w:lang w:val="en-GB"/>
        </w:rPr>
        <w:t>….actions</w:t>
      </w:r>
      <w:proofErr w:type="gramEnd"/>
      <w:r w:rsidRPr="0089630F">
        <w:rPr>
          <w:rFonts w:cstheme="minorHAnsi"/>
          <w:lang w:val="en-GB"/>
        </w:rPr>
        <w:t xml:space="preserve"> on the part of all public and private stakeholders</w:t>
      </w:r>
      <w:r w:rsidR="00012248" w:rsidRPr="0089630F">
        <w:rPr>
          <w:rFonts w:cstheme="minorHAnsi"/>
          <w:lang w:val="en-GB"/>
        </w:rPr>
        <w:t>….</w:t>
      </w:r>
      <w:r w:rsidRPr="0089630F">
        <w:rPr>
          <w:rFonts w:cstheme="minorHAnsi"/>
          <w:lang w:val="en-GB"/>
        </w:rPr>
        <w:t>[for]</w:t>
      </w:r>
      <w:r w:rsidR="00012248" w:rsidRPr="0089630F">
        <w:rPr>
          <w:rFonts w:cstheme="minorHAnsi"/>
          <w:lang w:val="en-GB"/>
        </w:rPr>
        <w:t>….</w:t>
      </w:r>
      <w:r w:rsidRPr="0089630F">
        <w:rPr>
          <w:rFonts w:cstheme="minorHAnsi"/>
          <w:lang w:val="en-GB"/>
        </w:rPr>
        <w:t>inclusive and all-of-society disaster risk management that strengthen synergies across groups, as appropriate’.</w:t>
      </w:r>
    </w:p>
    <w:p w14:paraId="6BB8E85A" w14:textId="77777777" w:rsidR="004107DE" w:rsidRPr="0089630F" w:rsidRDefault="00012248" w:rsidP="00AC4DE3">
      <w:pPr>
        <w:pStyle w:val="ListParagraph"/>
        <w:numPr>
          <w:ilvl w:val="1"/>
          <w:numId w:val="1"/>
        </w:numPr>
        <w:spacing w:before="120" w:after="120"/>
        <w:ind w:left="357" w:hanging="357"/>
        <w:contextualSpacing w:val="0"/>
        <w:jc w:val="both"/>
        <w:rPr>
          <w:lang w:val="en-GB"/>
        </w:rPr>
      </w:pPr>
      <w:r w:rsidRPr="0089630F">
        <w:rPr>
          <w:rFonts w:cstheme="minorHAnsi"/>
          <w:lang w:val="en-GB"/>
        </w:rPr>
        <w:t xml:space="preserve">As a result, </w:t>
      </w:r>
      <w:r w:rsidR="00DB383E" w:rsidRPr="0089630F">
        <w:rPr>
          <w:rFonts w:cstheme="minorHAnsi"/>
          <w:lang w:val="en-GB"/>
        </w:rPr>
        <w:t xml:space="preserve">all stakeholder groups and constituencies </w:t>
      </w:r>
      <w:r w:rsidR="00EF3E0A" w:rsidRPr="0089630F">
        <w:rPr>
          <w:lang w:val="en-GB"/>
        </w:rPr>
        <w:t>identified in the Sendai Framework and beyond</w:t>
      </w:r>
      <w:r w:rsidR="00EF3E0A" w:rsidRPr="0089630F">
        <w:rPr>
          <w:rFonts w:cstheme="minorHAnsi"/>
          <w:lang w:val="en-GB"/>
        </w:rPr>
        <w:t xml:space="preserve"> </w:t>
      </w:r>
      <w:r w:rsidR="00AA060A" w:rsidRPr="0089630F">
        <w:rPr>
          <w:lang w:val="en-GB"/>
        </w:rPr>
        <w:t>(including</w:t>
      </w:r>
      <w:r w:rsidR="00004A29" w:rsidRPr="0089630F">
        <w:rPr>
          <w:lang w:val="en-GB"/>
        </w:rPr>
        <w:t xml:space="preserve"> </w:t>
      </w:r>
      <w:r w:rsidR="00AA060A" w:rsidRPr="0089630F">
        <w:rPr>
          <w:lang w:val="en-GB"/>
        </w:rPr>
        <w:t>representatives of</w:t>
      </w:r>
      <w:r w:rsidR="00004A29" w:rsidRPr="0089630F">
        <w:rPr>
          <w:lang w:val="en-GB"/>
        </w:rPr>
        <w:t xml:space="preserve"> various social groups, domains and sectors of society</w:t>
      </w:r>
      <w:r w:rsidR="00AA060A" w:rsidRPr="0089630F">
        <w:rPr>
          <w:lang w:val="en-GB"/>
        </w:rPr>
        <w:t>)</w:t>
      </w:r>
      <w:r w:rsidR="00004A29" w:rsidRPr="0089630F">
        <w:rPr>
          <w:rFonts w:cstheme="minorHAnsi"/>
          <w:lang w:val="en-GB"/>
        </w:rPr>
        <w:t xml:space="preserve"> </w:t>
      </w:r>
      <w:r w:rsidR="00DB383E" w:rsidRPr="0089630F">
        <w:rPr>
          <w:rFonts w:cstheme="minorHAnsi"/>
          <w:lang w:val="en-GB"/>
        </w:rPr>
        <w:t>are encouraged to participate in and contribute to the MTR SF.</w:t>
      </w:r>
      <w:r w:rsidR="007A5E95" w:rsidRPr="0089630F">
        <w:rPr>
          <w:rFonts w:cstheme="minorHAnsi"/>
          <w:lang w:val="en-GB"/>
        </w:rPr>
        <w:t xml:space="preserve"> </w:t>
      </w:r>
    </w:p>
    <w:p w14:paraId="6206AD75" w14:textId="6D528B7C" w:rsidR="00012248" w:rsidRPr="0089630F" w:rsidRDefault="007A5E95" w:rsidP="00AC4DE3">
      <w:pPr>
        <w:pStyle w:val="ListParagraph"/>
        <w:numPr>
          <w:ilvl w:val="1"/>
          <w:numId w:val="1"/>
        </w:numPr>
        <w:spacing w:before="120" w:after="120"/>
        <w:ind w:left="357" w:hanging="357"/>
        <w:contextualSpacing w:val="0"/>
        <w:jc w:val="both"/>
        <w:rPr>
          <w:lang w:val="en-GB"/>
        </w:rPr>
      </w:pPr>
      <w:r w:rsidRPr="0089630F">
        <w:rPr>
          <w:rFonts w:cstheme="minorHAnsi"/>
          <w:lang w:val="en-GB"/>
        </w:rPr>
        <w:t>Key stakeholders that may wish to participate include</w:t>
      </w:r>
      <w:r w:rsidR="000C1DDE">
        <w:rPr>
          <w:rFonts w:ascii="ZWAdobeF" w:hAnsi="ZWAdobeF" w:cs="ZWAdobeF"/>
          <w:sz w:val="2"/>
          <w:szCs w:val="2"/>
          <w:lang w:val="en-GB"/>
        </w:rPr>
        <w:t>5F</w:t>
      </w:r>
      <w:r w:rsidRPr="0089630F">
        <w:rPr>
          <w:rStyle w:val="FootnoteReference"/>
          <w:lang w:val="en-GB"/>
        </w:rPr>
        <w:footnoteReference w:id="7"/>
      </w:r>
      <w:r w:rsidRPr="0089630F">
        <w:rPr>
          <w:lang w:val="en-GB"/>
        </w:rPr>
        <w:t>:</w:t>
      </w:r>
    </w:p>
    <w:p w14:paraId="778DEE1B" w14:textId="56FEBEDE" w:rsidR="00210AF6" w:rsidRPr="0089630F" w:rsidRDefault="00210AF6" w:rsidP="00AC4DE3">
      <w:pPr>
        <w:pStyle w:val="ListParagraph"/>
        <w:spacing w:before="120" w:after="120"/>
        <w:contextualSpacing w:val="0"/>
        <w:jc w:val="both"/>
        <w:rPr>
          <w:lang w:val="en-GB"/>
        </w:rPr>
      </w:pPr>
      <w:r w:rsidRPr="0089630F">
        <w:rPr>
          <w:rFonts w:eastAsia="Times New Roman" w:cs="Calibri"/>
          <w:color w:val="000000"/>
          <w:lang w:val="en-GB"/>
        </w:rPr>
        <w:t>Business &amp; industry</w:t>
      </w:r>
      <w:r w:rsidRPr="0089630F">
        <w:rPr>
          <w:lang w:val="en-GB"/>
        </w:rPr>
        <w:t xml:space="preserve">, </w:t>
      </w:r>
      <w:r w:rsidRPr="0089630F">
        <w:rPr>
          <w:rFonts w:eastAsia="Times New Roman" w:cs="Calibri"/>
          <w:color w:val="000000"/>
          <w:lang w:val="en-GB"/>
        </w:rPr>
        <w:t>Children &amp; youth, Civil society / non-governmental organizations</w:t>
      </w:r>
      <w:r w:rsidRPr="0089630F">
        <w:rPr>
          <w:lang w:val="en-GB"/>
        </w:rPr>
        <w:t xml:space="preserve">, </w:t>
      </w:r>
      <w:r w:rsidRPr="0089630F">
        <w:rPr>
          <w:rFonts w:eastAsia="Times New Roman" w:cs="Calibri"/>
          <w:color w:val="000000"/>
          <w:lang w:val="en-GB"/>
        </w:rPr>
        <w:t>Education &amp; academia, Farmers</w:t>
      </w:r>
      <w:r w:rsidRPr="0089630F">
        <w:rPr>
          <w:lang w:val="en-GB"/>
        </w:rPr>
        <w:t xml:space="preserve">, </w:t>
      </w:r>
      <w:r w:rsidRPr="0089630F">
        <w:rPr>
          <w:rFonts w:eastAsia="Times New Roman" w:cs="Calibri"/>
          <w:color w:val="000000"/>
          <w:lang w:val="en-GB"/>
        </w:rPr>
        <w:t>Indigenous / traditional peoples, International financial institutions</w:t>
      </w:r>
      <w:r w:rsidRPr="0089630F">
        <w:rPr>
          <w:lang w:val="en-GB"/>
        </w:rPr>
        <w:t xml:space="preserve">, </w:t>
      </w:r>
      <w:r w:rsidRPr="0089630F">
        <w:rPr>
          <w:rFonts w:eastAsia="Times New Roman" w:cs="Calibri"/>
          <w:color w:val="000000"/>
          <w:lang w:val="en-GB"/>
        </w:rPr>
        <w:t xml:space="preserve">Local authorities, </w:t>
      </w:r>
      <w:r w:rsidRPr="0089630F">
        <w:rPr>
          <w:lang w:val="en-GB"/>
        </w:rPr>
        <w:t xml:space="preserve">Media, </w:t>
      </w:r>
      <w:r w:rsidRPr="0089630F">
        <w:rPr>
          <w:rFonts w:eastAsia="Times New Roman" w:cs="Calibri"/>
          <w:color w:val="000000"/>
          <w:lang w:val="en-GB"/>
        </w:rPr>
        <w:t>Migrant &amp; displaced persons, Older persons (Ageing)</w:t>
      </w:r>
      <w:r w:rsidRPr="0089630F">
        <w:rPr>
          <w:lang w:val="en-GB"/>
        </w:rPr>
        <w:t xml:space="preserve">, </w:t>
      </w:r>
      <w:r w:rsidRPr="0089630F">
        <w:rPr>
          <w:rFonts w:eastAsia="Times New Roman" w:cs="Calibri"/>
          <w:color w:val="000000"/>
          <w:lang w:val="en-GB"/>
        </w:rPr>
        <w:t>Persons with disabilities, Parliamentarians</w:t>
      </w:r>
      <w:r w:rsidRPr="0089630F">
        <w:rPr>
          <w:lang w:val="en-GB"/>
        </w:rPr>
        <w:t xml:space="preserve">, </w:t>
      </w:r>
      <w:r w:rsidRPr="0089630F">
        <w:rPr>
          <w:rFonts w:eastAsia="Times New Roman" w:cs="Calibri"/>
          <w:color w:val="000000"/>
          <w:lang w:val="en-GB"/>
        </w:rPr>
        <w:t>Private philanthropic organizations / foundations, Scientific &amp; technological community</w:t>
      </w:r>
      <w:r w:rsidRPr="0089630F">
        <w:rPr>
          <w:lang w:val="en-GB"/>
        </w:rPr>
        <w:t xml:space="preserve">, UN System entities (including </w:t>
      </w:r>
      <w:r w:rsidRPr="0089630F">
        <w:rPr>
          <w:rFonts w:cstheme="minorHAnsi"/>
          <w:lang w:val="en-GB"/>
        </w:rPr>
        <w:t>United Nations Resident Coordinators</w:t>
      </w:r>
      <w:r w:rsidRPr="0089630F" w:rsidDel="00040030">
        <w:rPr>
          <w:rFonts w:cstheme="minorHAnsi"/>
          <w:lang w:val="en-GB"/>
        </w:rPr>
        <w:t xml:space="preserve"> </w:t>
      </w:r>
      <w:r w:rsidRPr="0089630F">
        <w:rPr>
          <w:rFonts w:cstheme="minorHAnsi"/>
          <w:lang w:val="en-GB"/>
        </w:rPr>
        <w:t xml:space="preserve">&amp; UN Country Teams), </w:t>
      </w:r>
      <w:r w:rsidRPr="0089630F">
        <w:rPr>
          <w:rFonts w:eastAsia="Times New Roman" w:cs="Calibri"/>
          <w:color w:val="000000"/>
          <w:lang w:val="en-GB"/>
        </w:rPr>
        <w:t>Volunteers</w:t>
      </w:r>
      <w:r w:rsidRPr="0089630F">
        <w:rPr>
          <w:lang w:val="en-GB"/>
        </w:rPr>
        <w:t xml:space="preserve">, </w:t>
      </w:r>
      <w:r w:rsidRPr="0089630F">
        <w:rPr>
          <w:rFonts w:eastAsia="Times New Roman" w:cs="Calibri"/>
          <w:color w:val="000000"/>
          <w:lang w:val="en-GB"/>
        </w:rPr>
        <w:t>Women, Workers &amp; trade unions</w:t>
      </w:r>
      <w:r w:rsidR="00C333E1" w:rsidRPr="0089630F">
        <w:rPr>
          <w:rFonts w:eastAsia="Times New Roman" w:cs="Calibri"/>
          <w:color w:val="000000"/>
          <w:lang w:val="en-GB"/>
        </w:rPr>
        <w:t>.</w:t>
      </w:r>
    </w:p>
    <w:p w14:paraId="012F3928" w14:textId="37DB83F2" w:rsidR="00C333E1" w:rsidRPr="00E40E04" w:rsidRDefault="00C333E1" w:rsidP="00AC4DE3">
      <w:pPr>
        <w:pStyle w:val="ListParagraph"/>
        <w:numPr>
          <w:ilvl w:val="1"/>
          <w:numId w:val="1"/>
        </w:numPr>
        <w:spacing w:before="120" w:after="120"/>
        <w:ind w:left="357" w:hanging="357"/>
        <w:contextualSpacing w:val="0"/>
        <w:jc w:val="both"/>
        <w:rPr>
          <w:lang w:val="en-GB"/>
        </w:rPr>
      </w:pPr>
      <w:r w:rsidRPr="0089630F">
        <w:rPr>
          <w:lang w:val="en-GB"/>
        </w:rPr>
        <w:t xml:space="preserve">UNDRR and the SEM will work together to ensure that the consultation, review and stocktaking process is participatory, inclusive, diverse, transparent, and convenes stakeholders at local, national, </w:t>
      </w:r>
      <w:r w:rsidRPr="00E40E04">
        <w:rPr>
          <w:lang w:val="en-GB"/>
        </w:rPr>
        <w:t>regional and international levels.</w:t>
      </w:r>
    </w:p>
    <w:p w14:paraId="7B61B127" w14:textId="4B3C917A" w:rsidR="007F1E5B" w:rsidRPr="00E40E04" w:rsidRDefault="007F1E5B" w:rsidP="00AC4DE3">
      <w:pPr>
        <w:pStyle w:val="ListParagraph"/>
        <w:numPr>
          <w:ilvl w:val="1"/>
          <w:numId w:val="1"/>
        </w:numPr>
        <w:spacing w:before="120" w:after="120"/>
        <w:ind w:left="357" w:hanging="357"/>
        <w:contextualSpacing w:val="0"/>
        <w:jc w:val="both"/>
        <w:rPr>
          <w:lang w:val="en-GB"/>
        </w:rPr>
      </w:pPr>
      <w:r w:rsidRPr="00E40E04">
        <w:rPr>
          <w:lang w:val="en-GB"/>
        </w:rPr>
        <w:t xml:space="preserve">Stakeholders wishing to participate in </w:t>
      </w:r>
      <w:r w:rsidR="00585039" w:rsidRPr="00E40E04">
        <w:rPr>
          <w:lang w:val="en-GB"/>
        </w:rPr>
        <w:t>and contribute to the MTR SF</w:t>
      </w:r>
      <w:r w:rsidRPr="00E40E04">
        <w:rPr>
          <w:lang w:val="en-GB"/>
        </w:rPr>
        <w:t xml:space="preserve"> </w:t>
      </w:r>
      <w:r w:rsidRPr="00E40E04">
        <w:rPr>
          <w:rStyle w:val="normaltextrun"/>
          <w:shd w:val="clear" w:color="auto" w:fill="FFFFFF"/>
          <w:lang w:val="en-GB"/>
        </w:rPr>
        <w:t xml:space="preserve">are kindly requested to inform UNDRR </w:t>
      </w:r>
      <w:r w:rsidR="00585039" w:rsidRPr="00E40E04">
        <w:rPr>
          <w:rStyle w:val="normaltextrun"/>
          <w:shd w:val="clear" w:color="auto" w:fill="FFFFFF"/>
          <w:lang w:val="en-GB"/>
        </w:rPr>
        <w:t xml:space="preserve">and the SEM </w:t>
      </w:r>
      <w:r w:rsidRPr="00E40E04">
        <w:rPr>
          <w:rStyle w:val="normaltextrun"/>
          <w:shd w:val="clear" w:color="auto" w:fill="FFFFFF"/>
          <w:lang w:val="en-GB"/>
        </w:rPr>
        <w:t>at their earliest convenience</w:t>
      </w:r>
      <w:r w:rsidR="00373499" w:rsidRPr="00E40E04">
        <w:rPr>
          <w:rStyle w:val="normaltextrun"/>
          <w:shd w:val="clear" w:color="auto" w:fill="FFFFFF"/>
          <w:lang w:val="en-GB"/>
        </w:rPr>
        <w:t>. I</w:t>
      </w:r>
      <w:r w:rsidRPr="00E40E04">
        <w:rPr>
          <w:rStyle w:val="normaltextrun"/>
          <w:shd w:val="clear" w:color="auto" w:fill="FFFFFF"/>
          <w:lang w:val="en-GB"/>
        </w:rPr>
        <w:t>n so doing,</w:t>
      </w:r>
      <w:r w:rsidR="00373499" w:rsidRPr="00E40E04">
        <w:rPr>
          <w:rStyle w:val="normaltextrun"/>
          <w:shd w:val="clear" w:color="auto" w:fill="FFFFFF"/>
          <w:lang w:val="en-GB"/>
        </w:rPr>
        <w:t xml:space="preserve"> stakeholders are invited to</w:t>
      </w:r>
      <w:r w:rsidRPr="00E40E04">
        <w:rPr>
          <w:rStyle w:val="normaltextrun"/>
          <w:shd w:val="clear" w:color="auto" w:fill="FFFFFF"/>
          <w:lang w:val="en-GB"/>
        </w:rPr>
        <w:t xml:space="preserve"> </w:t>
      </w:r>
      <w:r w:rsidR="00BA79C5" w:rsidRPr="00E40E04">
        <w:rPr>
          <w:rStyle w:val="normaltextrun"/>
          <w:shd w:val="clear" w:color="auto" w:fill="FFFFFF"/>
          <w:lang w:val="en-GB"/>
        </w:rPr>
        <w:t>identify</w:t>
      </w:r>
      <w:r w:rsidRPr="00E40E04">
        <w:rPr>
          <w:rStyle w:val="normaltextrun"/>
          <w:shd w:val="clear" w:color="auto" w:fill="FFFFFF"/>
          <w:lang w:val="en-GB"/>
        </w:rPr>
        <w:t xml:space="preserve"> the </w:t>
      </w:r>
      <w:r w:rsidR="00373499" w:rsidRPr="00E40E04">
        <w:rPr>
          <w:rStyle w:val="normaltextrun"/>
          <w:shd w:val="clear" w:color="auto" w:fill="FFFFFF"/>
          <w:lang w:val="en-GB"/>
        </w:rPr>
        <w:t>person</w:t>
      </w:r>
      <w:r w:rsidRPr="00E40E04">
        <w:rPr>
          <w:rStyle w:val="normaltextrun"/>
          <w:shd w:val="clear" w:color="auto" w:fill="FFFFFF"/>
          <w:lang w:val="en-GB"/>
        </w:rPr>
        <w:t xml:space="preserve"> and</w:t>
      </w:r>
      <w:r w:rsidR="00BA79C5" w:rsidRPr="00E40E04">
        <w:rPr>
          <w:rStyle w:val="normaltextrun"/>
          <w:shd w:val="clear" w:color="auto" w:fill="FFFFFF"/>
          <w:lang w:val="en-GB"/>
        </w:rPr>
        <w:t>/or</w:t>
      </w:r>
      <w:r w:rsidRPr="00E40E04">
        <w:rPr>
          <w:rStyle w:val="normaltextrun"/>
          <w:shd w:val="clear" w:color="auto" w:fill="FFFFFF"/>
          <w:lang w:val="en-GB"/>
        </w:rPr>
        <w:t xml:space="preserve"> office that will coordinate </w:t>
      </w:r>
      <w:r w:rsidR="00BA79C5" w:rsidRPr="00E40E04">
        <w:rPr>
          <w:rStyle w:val="normaltextrun"/>
          <w:shd w:val="clear" w:color="auto" w:fill="FFFFFF"/>
          <w:lang w:val="en-GB"/>
        </w:rPr>
        <w:t xml:space="preserve">inputs to </w:t>
      </w:r>
      <w:r w:rsidRPr="00E40E04">
        <w:rPr>
          <w:rStyle w:val="normaltextrun"/>
          <w:shd w:val="clear" w:color="auto" w:fill="FFFFFF"/>
          <w:lang w:val="en-GB"/>
        </w:rPr>
        <w:t>the midterm review process and communicate this to UNDRR</w:t>
      </w:r>
      <w:r w:rsidR="001F5DA7" w:rsidRPr="00E40E04">
        <w:rPr>
          <w:rStyle w:val="normaltextrun"/>
          <w:shd w:val="clear" w:color="auto" w:fill="FFFFFF"/>
          <w:lang w:val="en-GB"/>
        </w:rPr>
        <w:t xml:space="preserve"> (see Annex I)</w:t>
      </w:r>
      <w:r w:rsidR="00B01C80" w:rsidRPr="00E40E04">
        <w:rPr>
          <w:rStyle w:val="normaltextrun"/>
          <w:shd w:val="clear" w:color="auto" w:fill="FFFFFF"/>
          <w:lang w:val="en-GB"/>
        </w:rPr>
        <w:t>.</w:t>
      </w:r>
    </w:p>
    <w:p w14:paraId="3C7D1272" w14:textId="12BDF6BB" w:rsidR="00812C9E" w:rsidRPr="0089630F" w:rsidRDefault="00C41276" w:rsidP="00A57141">
      <w:pPr>
        <w:pStyle w:val="ListParagraph"/>
        <w:numPr>
          <w:ilvl w:val="1"/>
          <w:numId w:val="1"/>
        </w:numPr>
        <w:spacing w:before="120" w:after="120"/>
        <w:ind w:left="357" w:hanging="357"/>
        <w:contextualSpacing w:val="0"/>
        <w:jc w:val="both"/>
        <w:rPr>
          <w:lang w:val="en-GB"/>
        </w:rPr>
      </w:pPr>
      <w:r w:rsidRPr="0089630F">
        <w:rPr>
          <w:lang w:val="en-GB"/>
        </w:rPr>
        <w:t>Consistent with the ‘all-of-society’ and ‘all State institutions’ approach identified as central to achieving the outcome and goal of the Sendai Framework</w:t>
      </w:r>
      <w:r w:rsidR="000C1DDE">
        <w:rPr>
          <w:rFonts w:ascii="ZWAdobeF" w:hAnsi="ZWAdobeF" w:cs="ZWAdobeF"/>
          <w:sz w:val="2"/>
          <w:szCs w:val="2"/>
          <w:lang w:val="en-GB"/>
        </w:rPr>
        <w:t>6F</w:t>
      </w:r>
      <w:r w:rsidRPr="0089630F">
        <w:rPr>
          <w:rStyle w:val="FootnoteReference"/>
          <w:lang w:val="en-GB"/>
        </w:rPr>
        <w:footnoteReference w:id="8"/>
      </w:r>
      <w:r w:rsidRPr="0089630F">
        <w:rPr>
          <w:lang w:val="en-GB"/>
        </w:rPr>
        <w:t xml:space="preserve">, </w:t>
      </w:r>
      <w:r w:rsidR="001F5AFD" w:rsidRPr="0089630F">
        <w:rPr>
          <w:lang w:val="en-GB"/>
        </w:rPr>
        <w:t>States</w:t>
      </w:r>
      <w:r w:rsidR="00263819" w:rsidRPr="0089630F">
        <w:rPr>
          <w:lang w:val="en-GB"/>
        </w:rPr>
        <w:t xml:space="preserve"> </w:t>
      </w:r>
      <w:r w:rsidR="00D4040E" w:rsidRPr="0089630F">
        <w:rPr>
          <w:lang w:val="en-GB"/>
        </w:rPr>
        <w:t xml:space="preserve">have </w:t>
      </w:r>
      <w:r w:rsidR="0017104C" w:rsidRPr="0089630F">
        <w:rPr>
          <w:lang w:val="en-GB"/>
        </w:rPr>
        <w:t xml:space="preserve">also </w:t>
      </w:r>
      <w:r w:rsidR="00D4040E" w:rsidRPr="0089630F">
        <w:rPr>
          <w:lang w:val="en-GB"/>
        </w:rPr>
        <w:t>been</w:t>
      </w:r>
      <w:r w:rsidR="00263819" w:rsidRPr="0089630F">
        <w:rPr>
          <w:lang w:val="en-GB"/>
        </w:rPr>
        <w:t xml:space="preserve"> </w:t>
      </w:r>
      <w:r w:rsidR="007A3041" w:rsidRPr="0089630F">
        <w:rPr>
          <w:lang w:val="en-GB"/>
        </w:rPr>
        <w:t>requested</w:t>
      </w:r>
      <w:r w:rsidR="00263819" w:rsidRPr="0089630F">
        <w:rPr>
          <w:lang w:val="en-GB"/>
        </w:rPr>
        <w:t xml:space="preserve"> to structure </w:t>
      </w:r>
      <w:r w:rsidR="009E7E2B" w:rsidRPr="0089630F">
        <w:rPr>
          <w:lang w:val="en-GB"/>
        </w:rPr>
        <w:t xml:space="preserve">national </w:t>
      </w:r>
      <w:r w:rsidR="00144DD9" w:rsidRPr="0089630F">
        <w:rPr>
          <w:lang w:val="en-GB"/>
        </w:rPr>
        <w:t xml:space="preserve">consultations </w:t>
      </w:r>
      <w:r w:rsidR="007A3041" w:rsidRPr="0089630F">
        <w:rPr>
          <w:lang w:val="en-GB"/>
        </w:rPr>
        <w:t>in a participatory</w:t>
      </w:r>
      <w:r w:rsidR="009E7E2B" w:rsidRPr="0089630F">
        <w:rPr>
          <w:lang w:val="en-GB"/>
        </w:rPr>
        <w:t>,</w:t>
      </w:r>
      <w:r w:rsidR="007A3041" w:rsidRPr="0089630F">
        <w:rPr>
          <w:lang w:val="en-GB"/>
        </w:rPr>
        <w:t xml:space="preserve"> inclusive</w:t>
      </w:r>
      <w:r w:rsidR="009E7E2B" w:rsidRPr="0089630F">
        <w:rPr>
          <w:lang w:val="en-GB"/>
        </w:rPr>
        <w:t>,</w:t>
      </w:r>
      <w:r w:rsidR="3D55ECB5" w:rsidRPr="0089630F">
        <w:rPr>
          <w:lang w:val="en-GB"/>
        </w:rPr>
        <w:t xml:space="preserve"> accessible</w:t>
      </w:r>
      <w:r w:rsidR="009E7E2B" w:rsidRPr="0089630F">
        <w:rPr>
          <w:lang w:val="en-GB"/>
        </w:rPr>
        <w:t xml:space="preserve"> and transparent</w:t>
      </w:r>
      <w:r w:rsidR="007A3041" w:rsidRPr="0089630F">
        <w:rPr>
          <w:lang w:val="en-GB"/>
        </w:rPr>
        <w:t xml:space="preserve"> way</w:t>
      </w:r>
      <w:r w:rsidR="0033073D" w:rsidRPr="0089630F">
        <w:rPr>
          <w:lang w:val="en-GB"/>
        </w:rPr>
        <w:t xml:space="preserve">, </w:t>
      </w:r>
      <w:proofErr w:type="gramStart"/>
      <w:r w:rsidR="0033073D" w:rsidRPr="0089630F">
        <w:rPr>
          <w:lang w:val="en-GB"/>
        </w:rPr>
        <w:t>so as to</w:t>
      </w:r>
      <w:proofErr w:type="gramEnd"/>
      <w:r w:rsidR="0033073D" w:rsidRPr="0089630F">
        <w:rPr>
          <w:lang w:val="en-GB"/>
        </w:rPr>
        <w:t xml:space="preserve"> </w:t>
      </w:r>
      <w:r w:rsidRPr="0089630F">
        <w:rPr>
          <w:lang w:val="en-GB"/>
        </w:rPr>
        <w:t xml:space="preserve">allow stakeholders to be </w:t>
      </w:r>
      <w:r w:rsidR="009057E8" w:rsidRPr="0089630F">
        <w:rPr>
          <w:lang w:val="en-GB"/>
        </w:rPr>
        <w:t xml:space="preserve">actively engaged throughout the process of </w:t>
      </w:r>
      <w:r w:rsidR="0092422F" w:rsidRPr="0089630F">
        <w:rPr>
          <w:lang w:val="en-GB"/>
        </w:rPr>
        <w:t xml:space="preserve">national consultations. </w:t>
      </w:r>
    </w:p>
    <w:p w14:paraId="534A2DBB" w14:textId="77777777" w:rsidR="0089630F" w:rsidRDefault="0089630F">
      <w:pPr>
        <w:rPr>
          <w:rFonts w:asciiTheme="majorHAnsi" w:eastAsiaTheme="majorEastAsia" w:hAnsiTheme="majorHAnsi" w:cstheme="majorBidi"/>
          <w:color w:val="C00000"/>
          <w:sz w:val="28"/>
          <w:szCs w:val="28"/>
          <w:lang w:val="en-GB"/>
        </w:rPr>
      </w:pPr>
      <w:r>
        <w:rPr>
          <w:color w:val="C00000"/>
          <w:sz w:val="28"/>
          <w:szCs w:val="28"/>
        </w:rPr>
        <w:br w:type="page"/>
      </w:r>
    </w:p>
    <w:p w14:paraId="69877C62" w14:textId="7BF3CE9C" w:rsidR="008F2DFE" w:rsidRPr="0089630F" w:rsidRDefault="004333DF" w:rsidP="005D234C">
      <w:pPr>
        <w:pStyle w:val="Heading3"/>
        <w:numPr>
          <w:ilvl w:val="0"/>
          <w:numId w:val="1"/>
        </w:numPr>
        <w:tabs>
          <w:tab w:val="num" w:pos="360"/>
        </w:tabs>
        <w:spacing w:before="360" w:after="120"/>
        <w:ind w:left="357" w:hanging="357"/>
        <w:rPr>
          <w:color w:val="C00000"/>
          <w:sz w:val="28"/>
          <w:szCs w:val="28"/>
        </w:rPr>
      </w:pPr>
      <w:r w:rsidRPr="0089630F">
        <w:rPr>
          <w:color w:val="C00000"/>
          <w:sz w:val="28"/>
          <w:szCs w:val="28"/>
        </w:rPr>
        <w:lastRenderedPageBreak/>
        <w:t xml:space="preserve">Core </w:t>
      </w:r>
      <w:r w:rsidR="00B61A29" w:rsidRPr="0089630F">
        <w:rPr>
          <w:color w:val="C00000"/>
          <w:sz w:val="28"/>
          <w:szCs w:val="28"/>
        </w:rPr>
        <w:t xml:space="preserve">and probing </w:t>
      </w:r>
      <w:r w:rsidRPr="0089630F">
        <w:rPr>
          <w:color w:val="C00000"/>
          <w:sz w:val="28"/>
          <w:szCs w:val="28"/>
        </w:rPr>
        <w:t>questions</w:t>
      </w:r>
      <w:r w:rsidR="008F2DFE" w:rsidRPr="0089630F">
        <w:rPr>
          <w:color w:val="C00000"/>
          <w:sz w:val="28"/>
          <w:szCs w:val="28"/>
        </w:rPr>
        <w:t xml:space="preserve"> </w:t>
      </w:r>
      <w:r w:rsidRPr="0089630F">
        <w:rPr>
          <w:color w:val="C00000"/>
          <w:sz w:val="28"/>
          <w:szCs w:val="28"/>
        </w:rPr>
        <w:t>for</w:t>
      </w:r>
      <w:r w:rsidR="008F2DFE" w:rsidRPr="0089630F">
        <w:rPr>
          <w:color w:val="C00000"/>
          <w:sz w:val="28"/>
          <w:szCs w:val="28"/>
        </w:rPr>
        <w:t xml:space="preserve"> </w:t>
      </w:r>
      <w:r w:rsidR="00157D9D" w:rsidRPr="0089630F">
        <w:rPr>
          <w:color w:val="C00000"/>
          <w:sz w:val="28"/>
          <w:szCs w:val="28"/>
        </w:rPr>
        <w:t>Stakeholder</w:t>
      </w:r>
      <w:r w:rsidR="00D24FCD" w:rsidRPr="0089630F">
        <w:rPr>
          <w:color w:val="C00000"/>
          <w:sz w:val="28"/>
          <w:szCs w:val="28"/>
        </w:rPr>
        <w:t xml:space="preserve"> </w:t>
      </w:r>
      <w:r w:rsidRPr="0089630F">
        <w:rPr>
          <w:color w:val="C00000"/>
          <w:sz w:val="28"/>
          <w:szCs w:val="28"/>
        </w:rPr>
        <w:t>C</w:t>
      </w:r>
      <w:r w:rsidR="00D24FCD" w:rsidRPr="0089630F">
        <w:rPr>
          <w:color w:val="C00000"/>
          <w:sz w:val="28"/>
          <w:szCs w:val="28"/>
        </w:rPr>
        <w:t>onsultations</w:t>
      </w:r>
    </w:p>
    <w:p w14:paraId="5F72CED3" w14:textId="0D5B62C5" w:rsidR="00812C9E" w:rsidRPr="0089630F" w:rsidRDefault="00D95166" w:rsidP="00D56CC4">
      <w:pPr>
        <w:pStyle w:val="ListParagraph"/>
        <w:numPr>
          <w:ilvl w:val="1"/>
          <w:numId w:val="1"/>
        </w:numPr>
        <w:spacing w:before="120" w:after="120"/>
        <w:ind w:left="357" w:hanging="357"/>
        <w:contextualSpacing w:val="0"/>
        <w:jc w:val="both"/>
        <w:rPr>
          <w:lang w:val="en-GB"/>
        </w:rPr>
      </w:pPr>
      <w:r w:rsidRPr="0089630F">
        <w:rPr>
          <w:lang w:val="en-GB"/>
        </w:rPr>
        <w:t xml:space="preserve">The </w:t>
      </w:r>
      <w:r w:rsidR="00203213" w:rsidRPr="0089630F">
        <w:rPr>
          <w:lang w:val="en-GB"/>
        </w:rPr>
        <w:t>following</w:t>
      </w:r>
      <w:r w:rsidRPr="0089630F">
        <w:rPr>
          <w:lang w:val="en-GB"/>
        </w:rPr>
        <w:t xml:space="preserve"> are </w:t>
      </w:r>
      <w:r w:rsidR="00475685" w:rsidRPr="0089630F">
        <w:rPr>
          <w:lang w:val="en-GB"/>
        </w:rPr>
        <w:t xml:space="preserve">the </w:t>
      </w:r>
      <w:r w:rsidRPr="0089630F">
        <w:rPr>
          <w:lang w:val="en-GB"/>
        </w:rPr>
        <w:t xml:space="preserve">recommended </w:t>
      </w:r>
      <w:r w:rsidR="006F05BA" w:rsidRPr="0089630F">
        <w:rPr>
          <w:lang w:val="en-GB"/>
        </w:rPr>
        <w:t xml:space="preserve">core </w:t>
      </w:r>
      <w:r w:rsidR="0041717D" w:rsidRPr="0089630F">
        <w:rPr>
          <w:lang w:val="en-GB"/>
        </w:rPr>
        <w:t xml:space="preserve">and probing </w:t>
      </w:r>
      <w:r w:rsidR="006F05BA" w:rsidRPr="0089630F">
        <w:rPr>
          <w:lang w:val="en-GB"/>
        </w:rPr>
        <w:t xml:space="preserve">questions for </w:t>
      </w:r>
      <w:r w:rsidR="005200D6" w:rsidRPr="0089630F">
        <w:rPr>
          <w:lang w:val="en-GB"/>
        </w:rPr>
        <w:t>stakeholders</w:t>
      </w:r>
      <w:r w:rsidR="005F471F" w:rsidRPr="0089630F">
        <w:rPr>
          <w:lang w:val="en-GB"/>
        </w:rPr>
        <w:t xml:space="preserve"> </w:t>
      </w:r>
      <w:r w:rsidR="00475685" w:rsidRPr="0089630F">
        <w:rPr>
          <w:lang w:val="en-GB"/>
        </w:rPr>
        <w:t xml:space="preserve">which can </w:t>
      </w:r>
      <w:r w:rsidR="005F471F" w:rsidRPr="0089630F">
        <w:rPr>
          <w:lang w:val="en-GB"/>
        </w:rPr>
        <w:t xml:space="preserve">facilitate analysis of </w:t>
      </w:r>
      <w:r w:rsidR="00203213" w:rsidRPr="0089630F">
        <w:rPr>
          <w:lang w:val="en-GB"/>
        </w:rPr>
        <w:t>stocktaking</w:t>
      </w:r>
      <w:r w:rsidR="005F471F" w:rsidRPr="0089630F">
        <w:rPr>
          <w:lang w:val="en-GB"/>
        </w:rPr>
        <w:t xml:space="preserve"> on progress, </w:t>
      </w:r>
      <w:r w:rsidR="00203213" w:rsidRPr="0089630F">
        <w:rPr>
          <w:lang w:val="en-GB"/>
        </w:rPr>
        <w:t>identify</w:t>
      </w:r>
      <w:r w:rsidR="00883989" w:rsidRPr="0089630F">
        <w:rPr>
          <w:lang w:val="en-GB"/>
        </w:rPr>
        <w:t xml:space="preserve"> changes in context, </w:t>
      </w:r>
      <w:r w:rsidR="00203213" w:rsidRPr="0089630F">
        <w:rPr>
          <w:lang w:val="en-GB"/>
        </w:rPr>
        <w:t xml:space="preserve">and </w:t>
      </w:r>
      <w:r w:rsidR="00F00B84" w:rsidRPr="0089630F">
        <w:rPr>
          <w:lang w:val="en-GB"/>
        </w:rPr>
        <w:t xml:space="preserve">develop </w:t>
      </w:r>
      <w:r w:rsidR="00883989" w:rsidRPr="0089630F">
        <w:rPr>
          <w:lang w:val="en-GB"/>
        </w:rPr>
        <w:t xml:space="preserve">recommendations for </w:t>
      </w:r>
      <w:r w:rsidR="007C711D" w:rsidRPr="0089630F">
        <w:rPr>
          <w:lang w:val="en-GB"/>
        </w:rPr>
        <w:t>prioritized, accelerated</w:t>
      </w:r>
      <w:r w:rsidR="00203213" w:rsidRPr="0089630F">
        <w:rPr>
          <w:lang w:val="en-GB"/>
        </w:rPr>
        <w:t>,</w:t>
      </w:r>
      <w:r w:rsidR="00883989" w:rsidRPr="0089630F">
        <w:rPr>
          <w:lang w:val="en-GB"/>
        </w:rPr>
        <w:t xml:space="preserve"> and integrated cooperation and action</w:t>
      </w:r>
      <w:r w:rsidR="007C711D" w:rsidRPr="0089630F">
        <w:rPr>
          <w:lang w:val="en-GB"/>
        </w:rPr>
        <w:t>.</w:t>
      </w:r>
      <w:r w:rsidRPr="0089630F">
        <w:rPr>
          <w:lang w:val="en-GB"/>
        </w:rPr>
        <w:t xml:space="preserve"> </w:t>
      </w:r>
      <w:r w:rsidR="007D6B45" w:rsidRPr="0089630F">
        <w:rPr>
          <w:lang w:val="en-GB"/>
        </w:rPr>
        <w:t xml:space="preserve">The results of the consultations will constitute the basis for the preparation of the </w:t>
      </w:r>
      <w:r w:rsidR="00437CE9" w:rsidRPr="0089630F">
        <w:rPr>
          <w:lang w:val="en-GB"/>
        </w:rPr>
        <w:t>stakeholder component</w:t>
      </w:r>
      <w:r w:rsidR="007D6B45" w:rsidRPr="0089630F">
        <w:rPr>
          <w:lang w:val="en-GB"/>
        </w:rPr>
        <w:t xml:space="preserve"> of the MTR SF.</w:t>
      </w:r>
    </w:p>
    <w:p w14:paraId="36007725" w14:textId="1CAF1FF4" w:rsidR="00F00B84" w:rsidRPr="0089630F" w:rsidRDefault="00F00B84" w:rsidP="00611428">
      <w:pPr>
        <w:pStyle w:val="ListParagraph"/>
        <w:numPr>
          <w:ilvl w:val="1"/>
          <w:numId w:val="1"/>
        </w:numPr>
        <w:spacing w:before="120" w:after="120"/>
        <w:ind w:left="357" w:hanging="357"/>
        <w:contextualSpacing w:val="0"/>
        <w:jc w:val="both"/>
        <w:rPr>
          <w:lang w:val="en-GB"/>
        </w:rPr>
      </w:pPr>
      <w:r w:rsidRPr="0089630F">
        <w:rPr>
          <w:lang w:val="en-GB"/>
        </w:rPr>
        <w:t xml:space="preserve">The core questions are </w:t>
      </w:r>
      <w:r w:rsidR="00AC5BDD" w:rsidRPr="0089630F">
        <w:rPr>
          <w:lang w:val="en-GB"/>
        </w:rPr>
        <w:t xml:space="preserve">mainly </w:t>
      </w:r>
      <w:r w:rsidRPr="0089630F">
        <w:rPr>
          <w:lang w:val="en-GB"/>
        </w:rPr>
        <w:t xml:space="preserve">drawn from the </w:t>
      </w:r>
      <w:r w:rsidR="00B016D3" w:rsidRPr="0089630F">
        <w:rPr>
          <w:lang w:val="en-GB"/>
        </w:rPr>
        <w:t>Appendices</w:t>
      </w:r>
      <w:r w:rsidRPr="0089630F">
        <w:rPr>
          <w:lang w:val="en-GB"/>
        </w:rPr>
        <w:t xml:space="preserve"> of the </w:t>
      </w:r>
      <w:r w:rsidRPr="0089630F">
        <w:rPr>
          <w:i/>
          <w:iCs/>
          <w:lang w:val="en-GB"/>
        </w:rPr>
        <w:t>Concept Note of the MTR SF</w:t>
      </w:r>
      <w:r w:rsidRPr="0089630F">
        <w:rPr>
          <w:lang w:val="en-GB"/>
        </w:rPr>
        <w:t xml:space="preserve">, and as stated in the </w:t>
      </w:r>
      <w:r w:rsidRPr="0089630F">
        <w:rPr>
          <w:i/>
          <w:iCs/>
          <w:lang w:val="en-GB"/>
        </w:rPr>
        <w:t>Concept Note</w:t>
      </w:r>
      <w:r w:rsidRPr="0089630F">
        <w:rPr>
          <w:lang w:val="en-GB"/>
        </w:rPr>
        <w:t>, utilise the structure of the Sendai Framework as the basis for the MTR SF. They have been organised by category</w:t>
      </w:r>
      <w:r w:rsidR="000C1DDE">
        <w:rPr>
          <w:rFonts w:ascii="ZWAdobeF" w:hAnsi="ZWAdobeF" w:cs="ZWAdobeF"/>
          <w:sz w:val="2"/>
          <w:szCs w:val="2"/>
          <w:lang w:val="en-GB"/>
        </w:rPr>
        <w:t>7F</w:t>
      </w:r>
      <w:r w:rsidR="00742823" w:rsidRPr="0089630F">
        <w:rPr>
          <w:rStyle w:val="FootnoteReference"/>
          <w:lang w:val="en-GB"/>
        </w:rPr>
        <w:footnoteReference w:id="9"/>
      </w:r>
      <w:r w:rsidR="00EF2B45" w:rsidRPr="0089630F">
        <w:rPr>
          <w:lang w:val="en-GB"/>
        </w:rPr>
        <w:t xml:space="preserve"> </w:t>
      </w:r>
      <w:r w:rsidRPr="0089630F">
        <w:rPr>
          <w:lang w:val="en-GB"/>
        </w:rPr>
        <w:t xml:space="preserve">to </w:t>
      </w:r>
      <w:r w:rsidR="00705448" w:rsidRPr="0089630F">
        <w:rPr>
          <w:lang w:val="en-GB"/>
        </w:rPr>
        <w:t>assist in guiding consultations</w:t>
      </w:r>
      <w:r w:rsidR="00A1445B" w:rsidRPr="0089630F">
        <w:rPr>
          <w:lang w:val="en-GB"/>
        </w:rPr>
        <w:t>, review</w:t>
      </w:r>
      <w:r w:rsidR="00705448" w:rsidRPr="0089630F">
        <w:rPr>
          <w:lang w:val="en-GB"/>
        </w:rPr>
        <w:t xml:space="preserve"> and </w:t>
      </w:r>
      <w:r w:rsidR="00194F88" w:rsidRPr="0089630F">
        <w:rPr>
          <w:lang w:val="en-GB"/>
        </w:rPr>
        <w:t>stocktaking</w:t>
      </w:r>
      <w:r w:rsidR="00705448" w:rsidRPr="0089630F">
        <w:rPr>
          <w:lang w:val="en-GB"/>
        </w:rPr>
        <w:t>.</w:t>
      </w:r>
      <w:r w:rsidR="0050375F" w:rsidRPr="0089630F">
        <w:rPr>
          <w:lang w:val="en-GB"/>
        </w:rPr>
        <w:t xml:space="preserve"> </w:t>
      </w:r>
    </w:p>
    <w:p w14:paraId="34099E4D" w14:textId="3F37E6FE" w:rsidR="00197561" w:rsidRPr="0089630F" w:rsidRDefault="00742823" w:rsidP="00611428">
      <w:pPr>
        <w:pStyle w:val="ListParagraph"/>
        <w:numPr>
          <w:ilvl w:val="1"/>
          <w:numId w:val="1"/>
        </w:numPr>
        <w:spacing w:before="120" w:after="240"/>
        <w:ind w:left="357" w:hanging="357"/>
        <w:contextualSpacing w:val="0"/>
        <w:jc w:val="both"/>
        <w:rPr>
          <w:lang w:val="en-GB"/>
        </w:rPr>
      </w:pPr>
      <w:r w:rsidRPr="0089630F">
        <w:rPr>
          <w:lang w:val="en-GB"/>
        </w:rPr>
        <w:t>Stakeholders</w:t>
      </w:r>
      <w:r w:rsidR="00197561" w:rsidRPr="0089630F">
        <w:rPr>
          <w:lang w:val="en-GB"/>
        </w:rPr>
        <w:t xml:space="preserve"> are strongly recommended to </w:t>
      </w:r>
      <w:r w:rsidR="00183581" w:rsidRPr="0089630F">
        <w:rPr>
          <w:lang w:val="en-GB"/>
        </w:rPr>
        <w:t xml:space="preserve">review and </w:t>
      </w:r>
      <w:r w:rsidR="006C5180" w:rsidRPr="0089630F">
        <w:rPr>
          <w:lang w:val="en-GB"/>
        </w:rPr>
        <w:t>respond to</w:t>
      </w:r>
      <w:r w:rsidR="00197561" w:rsidRPr="0089630F">
        <w:rPr>
          <w:lang w:val="en-GB"/>
        </w:rPr>
        <w:t xml:space="preserve"> </w:t>
      </w:r>
      <w:r w:rsidR="00CD50D9" w:rsidRPr="0089630F">
        <w:rPr>
          <w:lang w:val="en-GB"/>
        </w:rPr>
        <w:t>as many</w:t>
      </w:r>
      <w:r w:rsidR="00197561" w:rsidRPr="0089630F">
        <w:rPr>
          <w:lang w:val="en-GB"/>
        </w:rPr>
        <w:t xml:space="preserve"> core questions</w:t>
      </w:r>
      <w:r w:rsidR="00CD50D9" w:rsidRPr="0089630F">
        <w:rPr>
          <w:lang w:val="en-GB"/>
        </w:rPr>
        <w:t xml:space="preserve"> as possible</w:t>
      </w:r>
      <w:r w:rsidR="00197561" w:rsidRPr="0089630F">
        <w:rPr>
          <w:lang w:val="en-GB"/>
        </w:rPr>
        <w:t>, and</w:t>
      </w:r>
      <w:r w:rsidR="005C7353" w:rsidRPr="0089630F">
        <w:rPr>
          <w:lang w:val="en-GB"/>
        </w:rPr>
        <w:t xml:space="preserve"> to enrich and add value to the review are encouraged to utilise the probing questions provided.</w:t>
      </w:r>
    </w:p>
    <w:tbl>
      <w:tblPr>
        <w:tblStyle w:val="TableGrid"/>
        <w:tblW w:w="10201" w:type="dxa"/>
        <w:jc w:val="center"/>
        <w:tblLayout w:type="fixed"/>
        <w:tblLook w:val="04A0" w:firstRow="1" w:lastRow="0" w:firstColumn="1" w:lastColumn="0" w:noHBand="0" w:noVBand="1"/>
      </w:tblPr>
      <w:tblGrid>
        <w:gridCol w:w="562"/>
        <w:gridCol w:w="9639"/>
      </w:tblGrid>
      <w:tr w:rsidR="008F048F" w:rsidRPr="0089630F" w14:paraId="34921B9E" w14:textId="77777777" w:rsidTr="00CA3EED">
        <w:trPr>
          <w:trHeight w:val="251"/>
          <w:jc w:val="center"/>
        </w:trPr>
        <w:tc>
          <w:tcPr>
            <w:tcW w:w="10201" w:type="dxa"/>
            <w:gridSpan w:val="2"/>
            <w:shd w:val="clear" w:color="auto" w:fill="000000" w:themeFill="text1"/>
            <w:vAlign w:val="center"/>
          </w:tcPr>
          <w:p w14:paraId="34FBA267" w14:textId="1C6C1D47" w:rsidR="008F048F" w:rsidRPr="0089630F" w:rsidRDefault="00475685" w:rsidP="00505CDD">
            <w:pPr>
              <w:spacing w:beforeLines="40" w:before="96" w:afterLines="40" w:after="96"/>
              <w:jc w:val="both"/>
              <w:rPr>
                <w:rFonts w:ascii="Calibri" w:hAnsi="Calibri" w:cs="Calibri"/>
                <w:color w:val="FFFFFF" w:themeColor="background1"/>
                <w:sz w:val="20"/>
                <w:szCs w:val="20"/>
                <w:lang w:val="en-GB"/>
              </w:rPr>
            </w:pPr>
            <w:r w:rsidRPr="0089630F">
              <w:rPr>
                <w:rFonts w:ascii="Calibri" w:hAnsi="Calibri" w:cs="Calibri"/>
                <w:color w:val="FFFFFF" w:themeColor="background1"/>
                <w:sz w:val="20"/>
                <w:szCs w:val="20"/>
                <w:lang w:val="en-GB"/>
              </w:rPr>
              <w:t xml:space="preserve">MTR SF – </w:t>
            </w:r>
            <w:r w:rsidR="008F048F" w:rsidRPr="0089630F">
              <w:rPr>
                <w:rFonts w:ascii="Calibri" w:hAnsi="Calibri" w:cs="Calibri"/>
                <w:color w:val="FFFFFF" w:themeColor="background1"/>
                <w:sz w:val="20"/>
                <w:szCs w:val="20"/>
                <w:lang w:val="en-GB"/>
              </w:rPr>
              <w:t>Retrospective Review</w:t>
            </w:r>
            <w:r w:rsidRPr="0089630F">
              <w:rPr>
                <w:rFonts w:ascii="Calibri" w:hAnsi="Calibri" w:cs="Calibri"/>
                <w:color w:val="FFFFFF" w:themeColor="background1"/>
                <w:sz w:val="20"/>
                <w:szCs w:val="20"/>
                <w:lang w:val="en-GB"/>
              </w:rPr>
              <w:t xml:space="preserve"> 2015 – 2022</w:t>
            </w:r>
            <w:r w:rsidR="0046390F" w:rsidRPr="0089630F">
              <w:rPr>
                <w:rFonts w:ascii="Calibri" w:hAnsi="Calibri" w:cs="Calibri"/>
                <w:color w:val="FFFFFF" w:themeColor="background1"/>
                <w:sz w:val="20"/>
                <w:szCs w:val="20"/>
                <w:lang w:val="en-GB"/>
              </w:rPr>
              <w:t xml:space="preserve"> [</w:t>
            </w:r>
            <w:r w:rsidR="0046390F" w:rsidRPr="0089630F">
              <w:rPr>
                <w:sz w:val="20"/>
                <w:szCs w:val="20"/>
                <w:lang w:val="en-GB"/>
              </w:rPr>
              <w:t>Section III. of the voluntary national report of the MTR SF]</w:t>
            </w:r>
          </w:p>
        </w:tc>
      </w:tr>
      <w:tr w:rsidR="008F048F" w:rsidRPr="0089630F" w14:paraId="1EB9D890" w14:textId="77777777" w:rsidTr="00CA3EED">
        <w:trPr>
          <w:trHeight w:val="251"/>
          <w:jc w:val="center"/>
        </w:trPr>
        <w:tc>
          <w:tcPr>
            <w:tcW w:w="10201" w:type="dxa"/>
            <w:gridSpan w:val="2"/>
            <w:shd w:val="clear" w:color="auto" w:fill="D9D9D9" w:themeFill="background1" w:themeFillShade="D9"/>
            <w:vAlign w:val="center"/>
          </w:tcPr>
          <w:p w14:paraId="28C07901" w14:textId="29A6E341" w:rsidR="008F048F" w:rsidRPr="0089630F" w:rsidRDefault="458CA4A9" w:rsidP="00F00B84">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Outcome and Goal</w:t>
            </w:r>
            <w:r w:rsidR="00CA1AA4" w:rsidRPr="0089630F">
              <w:rPr>
                <w:rFonts w:ascii="Calibri" w:hAnsi="Calibri" w:cs="Calibri"/>
                <w:sz w:val="20"/>
                <w:szCs w:val="20"/>
                <w:lang w:val="en-GB"/>
              </w:rPr>
              <w:t xml:space="preserve"> </w:t>
            </w:r>
            <w:r w:rsidR="00CA1AA4" w:rsidRPr="0089630F">
              <w:rPr>
                <w:sz w:val="20"/>
                <w:szCs w:val="20"/>
                <w:lang w:val="en-GB"/>
              </w:rPr>
              <w:t>[Section III. A.</w:t>
            </w:r>
            <w:r w:rsidR="006B75D8" w:rsidRPr="0089630F">
              <w:rPr>
                <w:sz w:val="20"/>
                <w:szCs w:val="20"/>
                <w:lang w:val="en-GB"/>
              </w:rPr>
              <w:t>]</w:t>
            </w:r>
          </w:p>
        </w:tc>
      </w:tr>
      <w:tr w:rsidR="008F048F" w:rsidRPr="0089630F" w14:paraId="27B9C0C5" w14:textId="77777777" w:rsidTr="00CA3EED">
        <w:trPr>
          <w:jc w:val="center"/>
        </w:trPr>
        <w:tc>
          <w:tcPr>
            <w:tcW w:w="562" w:type="dxa"/>
            <w:vAlign w:val="center"/>
          </w:tcPr>
          <w:p w14:paraId="42E09673" w14:textId="600C8F5F" w:rsidR="008F048F" w:rsidRPr="0089630F" w:rsidRDefault="008D34DB" w:rsidP="00505CDD">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1</w:t>
            </w:r>
          </w:p>
        </w:tc>
        <w:tc>
          <w:tcPr>
            <w:tcW w:w="9639" w:type="dxa"/>
            <w:vAlign w:val="center"/>
          </w:tcPr>
          <w:p w14:paraId="04F6BCF4" w14:textId="6B2B22DA" w:rsidR="008F048F" w:rsidRPr="0089630F" w:rsidRDefault="464C37FC" w:rsidP="00505CDD">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 xml:space="preserve">Has there been a reduction of disaster risk and the impacts of natural- and man-made hazards on persons, businesses, communities, and ecosystems, as a result of actions </w:t>
            </w:r>
            <w:proofErr w:type="gramStart"/>
            <w:r w:rsidRPr="0089630F">
              <w:rPr>
                <w:rFonts w:ascii="Calibri" w:hAnsi="Calibri" w:cs="Calibri"/>
                <w:sz w:val="20"/>
                <w:szCs w:val="20"/>
                <w:lang w:val="en-GB"/>
              </w:rPr>
              <w:t>taken</w:t>
            </w:r>
            <w:proofErr w:type="gramEnd"/>
            <w:r w:rsidRPr="0089630F">
              <w:rPr>
                <w:rFonts w:ascii="Calibri" w:hAnsi="Calibri" w:cs="Calibri"/>
                <w:sz w:val="20"/>
                <w:szCs w:val="20"/>
                <w:lang w:val="en-GB"/>
              </w:rPr>
              <w:t xml:space="preserve"> and approaches adopted </w:t>
            </w:r>
            <w:r w:rsidR="00C70AB4" w:rsidRPr="0089630F">
              <w:rPr>
                <w:rFonts w:ascii="Calibri" w:hAnsi="Calibri" w:cs="Calibri"/>
                <w:sz w:val="20"/>
                <w:szCs w:val="20"/>
                <w:lang w:val="en-GB"/>
              </w:rPr>
              <w:t>in your country</w:t>
            </w:r>
            <w:r w:rsidR="00A12DF0" w:rsidRPr="0089630F">
              <w:rPr>
                <w:rFonts w:ascii="Calibri" w:hAnsi="Calibri" w:cs="Calibri"/>
                <w:sz w:val="20"/>
                <w:szCs w:val="20"/>
                <w:lang w:val="en-GB"/>
              </w:rPr>
              <w:t>/context/community</w:t>
            </w:r>
            <w:r w:rsidR="00C70AB4" w:rsidRPr="0089630F">
              <w:rPr>
                <w:rFonts w:ascii="Calibri" w:hAnsi="Calibri" w:cs="Calibri"/>
                <w:sz w:val="20"/>
                <w:szCs w:val="20"/>
                <w:lang w:val="en-GB"/>
              </w:rPr>
              <w:t xml:space="preserve"> </w:t>
            </w:r>
            <w:r w:rsidRPr="0089630F">
              <w:rPr>
                <w:rFonts w:ascii="Calibri" w:hAnsi="Calibri" w:cs="Calibri"/>
                <w:sz w:val="20"/>
                <w:szCs w:val="20"/>
                <w:lang w:val="en-GB"/>
              </w:rPr>
              <w:t>in implementing the Sendai Framework since 2015?</w:t>
            </w:r>
          </w:p>
          <w:p w14:paraId="6FC32E27" w14:textId="41B92D4A" w:rsidR="00C6482E" w:rsidRPr="0089630F" w:rsidRDefault="00C6482E" w:rsidP="00505CDD">
            <w:pPr>
              <w:spacing w:beforeLines="40" w:before="96" w:afterLines="40" w:after="96"/>
              <w:jc w:val="both"/>
              <w:rPr>
                <w:rFonts w:ascii="Calibri" w:hAnsi="Calibri" w:cs="Calibri"/>
                <w:sz w:val="20"/>
                <w:szCs w:val="20"/>
                <w:lang w:val="en-GB"/>
              </w:rPr>
            </w:pPr>
            <w:r w:rsidRPr="0089630F">
              <w:rPr>
                <w:rFonts w:ascii="Calibri" w:hAnsi="Calibri" w:cs="Calibri"/>
                <w:i/>
                <w:iCs/>
                <w:sz w:val="20"/>
                <w:szCs w:val="20"/>
                <w:u w:val="single"/>
                <w:lang w:val="en-GB"/>
              </w:rPr>
              <w:t xml:space="preserve">Probing </w:t>
            </w:r>
            <w:r w:rsidR="00083A49" w:rsidRPr="0089630F">
              <w:rPr>
                <w:rFonts w:ascii="Calibri" w:hAnsi="Calibri" w:cs="Calibri"/>
                <w:i/>
                <w:iCs/>
                <w:sz w:val="20"/>
                <w:szCs w:val="20"/>
                <w:u w:val="single"/>
                <w:lang w:val="en-GB"/>
              </w:rPr>
              <w:t>Question</w:t>
            </w:r>
            <w:r w:rsidR="00083A49" w:rsidRPr="0089630F">
              <w:rPr>
                <w:rFonts w:ascii="Calibri" w:hAnsi="Calibri" w:cs="Calibri"/>
                <w:sz w:val="20"/>
                <w:szCs w:val="20"/>
                <w:lang w:val="en-GB"/>
              </w:rPr>
              <w:t>:</w:t>
            </w:r>
          </w:p>
          <w:p w14:paraId="3CF896B0" w14:textId="73647E2A" w:rsidR="00083A49" w:rsidRPr="0089630F" w:rsidRDefault="00A84ECB" w:rsidP="000C1DDE">
            <w:pPr>
              <w:pStyle w:val="ListParagraph"/>
              <w:numPr>
                <w:ilvl w:val="0"/>
                <w:numId w:val="9"/>
              </w:numPr>
              <w:spacing w:beforeLines="40" w:before="96" w:afterLines="40" w:after="96"/>
              <w:jc w:val="both"/>
              <w:rPr>
                <w:rFonts w:ascii="Calibri" w:hAnsi="Calibri" w:cs="Calibri"/>
                <w:sz w:val="20"/>
                <w:szCs w:val="20"/>
                <w:lang w:val="en-GB"/>
              </w:rPr>
            </w:pPr>
            <w:r w:rsidRPr="0089630F">
              <w:rPr>
                <w:sz w:val="20"/>
                <w:szCs w:val="20"/>
                <w:lang w:val="en-GB"/>
              </w:rPr>
              <w:t>Identify at least one way in which actions and approaches adopted in implementing the Sendai Framework have resulted in a reduction in disaster risk.</w:t>
            </w:r>
          </w:p>
        </w:tc>
      </w:tr>
      <w:tr w:rsidR="009352D4" w:rsidRPr="0089630F" w14:paraId="0F3808F2" w14:textId="77777777" w:rsidTr="00CA3EED">
        <w:trPr>
          <w:jc w:val="center"/>
        </w:trPr>
        <w:tc>
          <w:tcPr>
            <w:tcW w:w="562" w:type="dxa"/>
            <w:vAlign w:val="center"/>
          </w:tcPr>
          <w:p w14:paraId="5AB5C51B" w14:textId="6E9C5A88" w:rsidR="009352D4" w:rsidRPr="0089630F" w:rsidRDefault="008D34DB" w:rsidP="005D234C">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2</w:t>
            </w:r>
          </w:p>
        </w:tc>
        <w:tc>
          <w:tcPr>
            <w:tcW w:w="9639" w:type="dxa"/>
            <w:vAlign w:val="center"/>
          </w:tcPr>
          <w:p w14:paraId="0CAE0C95" w14:textId="739D283D" w:rsidR="005604C3" w:rsidRPr="0089630F" w:rsidRDefault="009352D4" w:rsidP="001214DD">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What do</w:t>
            </w:r>
            <w:r w:rsidR="00C70AB4" w:rsidRPr="0089630F">
              <w:rPr>
                <w:rFonts w:ascii="Calibri" w:hAnsi="Calibri" w:cs="Calibri"/>
                <w:sz w:val="20"/>
                <w:szCs w:val="20"/>
                <w:lang w:val="en-GB"/>
              </w:rPr>
              <w:t>es your</w:t>
            </w:r>
            <w:r w:rsidRPr="0089630F">
              <w:rPr>
                <w:rFonts w:ascii="Calibri" w:hAnsi="Calibri" w:cs="Calibri"/>
                <w:sz w:val="20"/>
                <w:szCs w:val="20"/>
                <w:lang w:val="en-GB"/>
              </w:rPr>
              <w:t xml:space="preserve"> </w:t>
            </w:r>
            <w:r w:rsidR="00840F26" w:rsidRPr="0089630F">
              <w:rPr>
                <w:rFonts w:ascii="Calibri" w:hAnsi="Calibri" w:cs="Calibri"/>
                <w:sz w:val="20"/>
                <w:szCs w:val="20"/>
                <w:lang w:val="en-GB"/>
              </w:rPr>
              <w:t>constituency</w:t>
            </w:r>
            <w:r w:rsidRPr="0089630F">
              <w:rPr>
                <w:rFonts w:ascii="Calibri" w:hAnsi="Calibri" w:cs="Calibri"/>
                <w:sz w:val="20"/>
                <w:szCs w:val="20"/>
                <w:lang w:val="en-GB"/>
              </w:rPr>
              <w:t xml:space="preserve"> consider </w:t>
            </w:r>
            <w:proofErr w:type="gramStart"/>
            <w:r w:rsidRPr="0089630F">
              <w:rPr>
                <w:rFonts w:ascii="Calibri" w:hAnsi="Calibri" w:cs="Calibri"/>
                <w:sz w:val="20"/>
                <w:szCs w:val="20"/>
                <w:lang w:val="en-GB"/>
              </w:rPr>
              <w:t>to have</w:t>
            </w:r>
            <w:proofErr w:type="gramEnd"/>
            <w:r w:rsidRPr="0089630F">
              <w:rPr>
                <w:rFonts w:ascii="Calibri" w:hAnsi="Calibri" w:cs="Calibri"/>
                <w:sz w:val="20"/>
                <w:szCs w:val="20"/>
                <w:lang w:val="en-GB"/>
              </w:rPr>
              <w:t xml:space="preserve"> been the major achievements, challenges and barriers to</w:t>
            </w:r>
            <w:r w:rsidR="00C5290C" w:rsidRPr="0089630F">
              <w:rPr>
                <w:rFonts w:ascii="Calibri" w:hAnsi="Calibri" w:cs="Calibri"/>
                <w:sz w:val="20"/>
                <w:szCs w:val="20"/>
                <w:lang w:val="en-GB"/>
              </w:rPr>
              <w:t xml:space="preserve"> </w:t>
            </w:r>
            <w:r w:rsidR="005005DE" w:rsidRPr="0089630F">
              <w:rPr>
                <w:rFonts w:ascii="Calibri" w:hAnsi="Calibri" w:cs="Calibri"/>
                <w:sz w:val="20"/>
                <w:szCs w:val="20"/>
                <w:lang w:val="en-GB"/>
              </w:rPr>
              <w:t>the</w:t>
            </w:r>
            <w:r w:rsidR="00181134" w:rsidRPr="0089630F">
              <w:rPr>
                <w:rFonts w:ascii="Calibri" w:hAnsi="Calibri" w:cs="Calibri"/>
                <w:sz w:val="20"/>
                <w:szCs w:val="20"/>
                <w:lang w:val="en-GB"/>
              </w:rPr>
              <w:t xml:space="preserve"> </w:t>
            </w:r>
            <w:r w:rsidR="005005DE" w:rsidRPr="0089630F">
              <w:rPr>
                <w:rFonts w:ascii="Calibri" w:hAnsi="Calibri" w:cs="Calibri"/>
                <w:sz w:val="20"/>
                <w:szCs w:val="20"/>
                <w:lang w:val="en-GB"/>
              </w:rPr>
              <w:t xml:space="preserve">implementation </w:t>
            </w:r>
            <w:r w:rsidR="0028082E" w:rsidRPr="0089630F">
              <w:rPr>
                <w:rFonts w:ascii="Calibri" w:hAnsi="Calibri" w:cs="Calibri"/>
                <w:sz w:val="20"/>
                <w:szCs w:val="20"/>
                <w:lang w:val="en-GB"/>
              </w:rPr>
              <w:t>of the Sendai Framework since 2015</w:t>
            </w:r>
            <w:r w:rsidR="005604C3" w:rsidRPr="0089630F">
              <w:rPr>
                <w:rFonts w:ascii="Calibri" w:hAnsi="Calibri" w:cs="Calibri"/>
                <w:sz w:val="20"/>
                <w:szCs w:val="20"/>
                <w:lang w:val="en-GB"/>
              </w:rPr>
              <w:t>?</w:t>
            </w:r>
          </w:p>
          <w:p w14:paraId="463F818C" w14:textId="1F7D51DC" w:rsidR="000F6376" w:rsidRPr="0089630F" w:rsidRDefault="005604C3" w:rsidP="001214DD">
            <w:pPr>
              <w:spacing w:beforeLines="40" w:before="96" w:afterLines="40" w:after="96"/>
              <w:jc w:val="both"/>
              <w:rPr>
                <w:rFonts w:ascii="Calibri" w:hAnsi="Calibri" w:cs="Calibri"/>
                <w:sz w:val="20"/>
                <w:szCs w:val="20"/>
                <w:lang w:val="en-GB"/>
              </w:rPr>
            </w:pPr>
            <w:r w:rsidRPr="0089630F">
              <w:rPr>
                <w:rFonts w:ascii="Calibri" w:hAnsi="Calibri" w:cs="Calibri"/>
                <w:i/>
                <w:iCs/>
                <w:sz w:val="20"/>
                <w:szCs w:val="20"/>
                <w:u w:val="single"/>
                <w:lang w:val="en-GB"/>
              </w:rPr>
              <w:t>Probing Questions</w:t>
            </w:r>
            <w:r w:rsidRPr="0089630F">
              <w:rPr>
                <w:rFonts w:ascii="Calibri" w:hAnsi="Calibri" w:cs="Calibri"/>
                <w:sz w:val="20"/>
                <w:szCs w:val="20"/>
                <w:lang w:val="en-GB"/>
              </w:rPr>
              <w:t>:</w:t>
            </w:r>
          </w:p>
          <w:p w14:paraId="25BA3001" w14:textId="0AD23D3A" w:rsidR="000F6376" w:rsidRPr="0089630F" w:rsidRDefault="000F6376" w:rsidP="001214DD">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In respect of:</w:t>
            </w:r>
          </w:p>
          <w:p w14:paraId="5F6A8885" w14:textId="29B75AA2" w:rsidR="000E14C0" w:rsidRPr="0089630F" w:rsidRDefault="000E14C0" w:rsidP="000C1DDE">
            <w:pPr>
              <w:pStyle w:val="ListParagraph"/>
              <w:numPr>
                <w:ilvl w:val="0"/>
                <w:numId w:val="8"/>
              </w:num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preventing the creation of new risk</w:t>
            </w:r>
          </w:p>
          <w:p w14:paraId="07546F4B" w14:textId="7A1CBC95" w:rsidR="000E14C0" w:rsidRPr="0089630F" w:rsidRDefault="000E14C0" w:rsidP="000C1DDE">
            <w:pPr>
              <w:pStyle w:val="ListParagraph"/>
              <w:numPr>
                <w:ilvl w:val="0"/>
                <w:numId w:val="8"/>
              </w:num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reducing the existing stock of risk</w:t>
            </w:r>
          </w:p>
          <w:p w14:paraId="1FDC76E1" w14:textId="77777777" w:rsidR="009352D4" w:rsidRPr="0089630F" w:rsidRDefault="000659A2" w:rsidP="000C1DDE">
            <w:pPr>
              <w:pStyle w:val="ListParagraph"/>
              <w:numPr>
                <w:ilvl w:val="0"/>
                <w:numId w:val="8"/>
              </w:num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strengthening resilience</w:t>
            </w:r>
          </w:p>
          <w:p w14:paraId="0A5790E0" w14:textId="4FCCFDCD" w:rsidR="00635F82" w:rsidRPr="0089630F" w:rsidRDefault="00635F82" w:rsidP="000C1DDE">
            <w:pPr>
              <w:pStyle w:val="ListParagraph"/>
              <w:numPr>
                <w:ilvl w:val="0"/>
                <w:numId w:val="8"/>
              </w:numPr>
              <w:spacing w:beforeLines="40" w:before="96" w:afterLines="40" w:after="96" w:line="259" w:lineRule="auto"/>
              <w:jc w:val="both"/>
              <w:rPr>
                <w:rFonts w:ascii="Calibri" w:hAnsi="Calibri" w:cs="Calibri"/>
                <w:sz w:val="20"/>
                <w:szCs w:val="20"/>
                <w:lang w:val="en-GB"/>
              </w:rPr>
            </w:pPr>
            <w:r w:rsidRPr="0089630F">
              <w:rPr>
                <w:rFonts w:ascii="Calibri" w:hAnsi="Calibri" w:cs="Calibri"/>
                <w:sz w:val="20"/>
                <w:szCs w:val="20"/>
                <w:lang w:val="en-GB"/>
              </w:rPr>
              <w:t>the Guiding Principles</w:t>
            </w:r>
          </w:p>
        </w:tc>
      </w:tr>
      <w:tr w:rsidR="008F048F" w:rsidRPr="0089630F" w14:paraId="4DA2D5FE" w14:textId="77777777" w:rsidTr="00CA3EED">
        <w:trPr>
          <w:trHeight w:val="251"/>
          <w:jc w:val="center"/>
        </w:trPr>
        <w:tc>
          <w:tcPr>
            <w:tcW w:w="10201" w:type="dxa"/>
            <w:gridSpan w:val="2"/>
            <w:shd w:val="clear" w:color="auto" w:fill="D9D9D9" w:themeFill="background1" w:themeFillShade="D9"/>
            <w:vAlign w:val="center"/>
          </w:tcPr>
          <w:p w14:paraId="1DA492DC" w14:textId="6C736DEB" w:rsidR="008F048F" w:rsidRPr="0089630F" w:rsidRDefault="008F048F" w:rsidP="00505CDD">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Risk Assessment</w:t>
            </w:r>
            <w:r w:rsidR="00C642C9" w:rsidRPr="0089630F">
              <w:rPr>
                <w:rFonts w:ascii="Calibri" w:hAnsi="Calibri" w:cs="Calibri"/>
                <w:sz w:val="20"/>
                <w:szCs w:val="20"/>
                <w:lang w:val="en-GB"/>
              </w:rPr>
              <w:t>,</w:t>
            </w:r>
            <w:r w:rsidRPr="0089630F">
              <w:rPr>
                <w:rFonts w:ascii="Calibri" w:hAnsi="Calibri" w:cs="Calibri"/>
                <w:sz w:val="20"/>
                <w:szCs w:val="20"/>
                <w:lang w:val="en-GB"/>
              </w:rPr>
              <w:t xml:space="preserve"> Information</w:t>
            </w:r>
            <w:r w:rsidR="00C642C9" w:rsidRPr="0089630F">
              <w:rPr>
                <w:rFonts w:ascii="Calibri" w:hAnsi="Calibri" w:cs="Calibri"/>
                <w:sz w:val="20"/>
                <w:szCs w:val="20"/>
                <w:lang w:val="en-GB"/>
              </w:rPr>
              <w:t xml:space="preserve"> and Understanding</w:t>
            </w:r>
            <w:r w:rsidR="0050375F" w:rsidRPr="0089630F">
              <w:rPr>
                <w:rFonts w:ascii="Calibri" w:hAnsi="Calibri" w:cs="Calibri"/>
                <w:sz w:val="20"/>
                <w:szCs w:val="20"/>
                <w:lang w:val="en-GB"/>
              </w:rPr>
              <w:t xml:space="preserve"> </w:t>
            </w:r>
            <w:r w:rsidR="00265CD7" w:rsidRPr="0089630F">
              <w:rPr>
                <w:rFonts w:ascii="Calibri" w:hAnsi="Calibri" w:cs="Calibri"/>
                <w:sz w:val="20"/>
                <w:szCs w:val="20"/>
                <w:lang w:val="en-GB"/>
              </w:rPr>
              <w:t>[</w:t>
            </w:r>
            <w:r w:rsidR="0050375F" w:rsidRPr="0089630F">
              <w:rPr>
                <w:rFonts w:ascii="Calibri" w:hAnsi="Calibri" w:cs="Calibri"/>
                <w:sz w:val="20"/>
                <w:szCs w:val="20"/>
                <w:lang w:val="en-GB"/>
              </w:rPr>
              <w:t>Section III.B.</w:t>
            </w:r>
            <w:r w:rsidR="00265CD7" w:rsidRPr="0089630F">
              <w:rPr>
                <w:rFonts w:ascii="Calibri" w:hAnsi="Calibri" w:cs="Calibri"/>
                <w:sz w:val="20"/>
                <w:szCs w:val="20"/>
                <w:lang w:val="en-GB"/>
              </w:rPr>
              <w:t>]</w:t>
            </w:r>
          </w:p>
        </w:tc>
      </w:tr>
      <w:tr w:rsidR="008F048F" w:rsidRPr="0089630F" w14:paraId="5DD0BECB" w14:textId="77777777" w:rsidTr="00CA3EED">
        <w:trPr>
          <w:jc w:val="center"/>
        </w:trPr>
        <w:tc>
          <w:tcPr>
            <w:tcW w:w="562" w:type="dxa"/>
            <w:vAlign w:val="center"/>
          </w:tcPr>
          <w:p w14:paraId="7AF84377" w14:textId="142E3764" w:rsidR="008F048F" w:rsidRPr="0089630F" w:rsidRDefault="0050375F" w:rsidP="00505CDD">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3</w:t>
            </w:r>
          </w:p>
        </w:tc>
        <w:tc>
          <w:tcPr>
            <w:tcW w:w="9639" w:type="dxa"/>
            <w:vAlign w:val="center"/>
          </w:tcPr>
          <w:p w14:paraId="742CC91D" w14:textId="57711B3B" w:rsidR="008F048F" w:rsidRPr="0089630F" w:rsidRDefault="00D8519A" w:rsidP="00505CDD">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 xml:space="preserve">What </w:t>
            </w:r>
            <w:r w:rsidR="008060C0" w:rsidRPr="0089630F">
              <w:rPr>
                <w:rFonts w:ascii="Calibri" w:hAnsi="Calibri" w:cs="Calibri"/>
                <w:sz w:val="20"/>
                <w:szCs w:val="20"/>
                <w:lang w:val="en-GB"/>
              </w:rPr>
              <w:t>progress</w:t>
            </w:r>
            <w:r w:rsidR="008C3172" w:rsidRPr="0089630F">
              <w:rPr>
                <w:rFonts w:ascii="Calibri" w:hAnsi="Calibri" w:cs="Calibri"/>
                <w:sz w:val="20"/>
                <w:szCs w:val="20"/>
                <w:lang w:val="en-GB"/>
              </w:rPr>
              <w:t xml:space="preserve"> </w:t>
            </w:r>
            <w:r w:rsidR="00C65CD3" w:rsidRPr="0089630F">
              <w:rPr>
                <w:rFonts w:ascii="Calibri" w:hAnsi="Calibri" w:cs="Calibri"/>
                <w:sz w:val="20"/>
                <w:szCs w:val="20"/>
                <w:lang w:val="en-GB"/>
              </w:rPr>
              <w:t xml:space="preserve">has </w:t>
            </w:r>
            <w:r w:rsidRPr="0089630F">
              <w:rPr>
                <w:rFonts w:ascii="Calibri" w:hAnsi="Calibri" w:cs="Calibri"/>
                <w:sz w:val="20"/>
                <w:szCs w:val="20"/>
                <w:lang w:val="en-GB"/>
              </w:rPr>
              <w:t>bee</w:t>
            </w:r>
            <w:r w:rsidR="00B47FED" w:rsidRPr="0089630F">
              <w:rPr>
                <w:rFonts w:ascii="Calibri" w:hAnsi="Calibri" w:cs="Calibri"/>
                <w:sz w:val="20"/>
                <w:szCs w:val="20"/>
                <w:lang w:val="en-GB"/>
              </w:rPr>
              <w:t xml:space="preserve">n </w:t>
            </w:r>
            <w:r w:rsidR="00001FF4" w:rsidRPr="0089630F">
              <w:rPr>
                <w:rFonts w:ascii="Calibri" w:hAnsi="Calibri" w:cs="Calibri"/>
                <w:sz w:val="20"/>
                <w:szCs w:val="20"/>
                <w:lang w:val="en-GB"/>
              </w:rPr>
              <w:t xml:space="preserve">made </w:t>
            </w:r>
            <w:r w:rsidR="003238BC" w:rsidRPr="0089630F">
              <w:rPr>
                <w:rFonts w:ascii="Calibri" w:hAnsi="Calibri" w:cs="Calibri"/>
                <w:sz w:val="20"/>
                <w:szCs w:val="20"/>
                <w:lang w:val="en-GB"/>
              </w:rPr>
              <w:t xml:space="preserve">in approaches to </w:t>
            </w:r>
            <w:r w:rsidR="00001FF4" w:rsidRPr="0089630F">
              <w:rPr>
                <w:rFonts w:ascii="Calibri" w:hAnsi="Calibri" w:cs="Calibri"/>
                <w:sz w:val="20"/>
                <w:szCs w:val="20"/>
                <w:lang w:val="en-GB"/>
              </w:rPr>
              <w:t>better understand</w:t>
            </w:r>
            <w:r w:rsidR="00383D7B" w:rsidRPr="0089630F">
              <w:rPr>
                <w:rFonts w:ascii="Calibri" w:hAnsi="Calibri" w:cs="Calibri"/>
                <w:sz w:val="20"/>
                <w:szCs w:val="20"/>
                <w:lang w:val="en-GB"/>
              </w:rPr>
              <w:t>/assess</w:t>
            </w:r>
            <w:r w:rsidR="00001FF4" w:rsidRPr="0089630F">
              <w:rPr>
                <w:rFonts w:ascii="Calibri" w:hAnsi="Calibri" w:cs="Calibri"/>
                <w:sz w:val="20"/>
                <w:szCs w:val="20"/>
                <w:lang w:val="en-GB"/>
              </w:rPr>
              <w:t xml:space="preserve"> disaster risk</w:t>
            </w:r>
            <w:r w:rsidR="007E3B05" w:rsidRPr="0089630F">
              <w:rPr>
                <w:rFonts w:ascii="Calibri" w:hAnsi="Calibri" w:cs="Calibri"/>
                <w:sz w:val="20"/>
                <w:szCs w:val="20"/>
                <w:lang w:val="en-GB"/>
              </w:rPr>
              <w:t xml:space="preserve"> in all </w:t>
            </w:r>
            <w:r w:rsidR="00D24AE8" w:rsidRPr="0089630F">
              <w:rPr>
                <w:rFonts w:ascii="Calibri" w:hAnsi="Calibri" w:cs="Calibri"/>
                <w:sz w:val="20"/>
                <w:szCs w:val="20"/>
                <w:lang w:val="en-GB"/>
              </w:rPr>
              <w:t xml:space="preserve">its </w:t>
            </w:r>
            <w:r w:rsidR="007E3B05" w:rsidRPr="0089630F">
              <w:rPr>
                <w:rFonts w:ascii="Calibri" w:hAnsi="Calibri" w:cs="Calibri"/>
                <w:sz w:val="20"/>
                <w:szCs w:val="20"/>
                <w:lang w:val="en-GB"/>
              </w:rPr>
              <w:t xml:space="preserve">dimensions of vulnerability, exposure </w:t>
            </w:r>
            <w:r w:rsidR="006C5FF5" w:rsidRPr="0089630F">
              <w:rPr>
                <w:rFonts w:ascii="Calibri" w:hAnsi="Calibri" w:cs="Calibri"/>
                <w:sz w:val="20"/>
                <w:szCs w:val="20"/>
                <w:lang w:val="en-GB"/>
              </w:rPr>
              <w:t>(</w:t>
            </w:r>
            <w:r w:rsidR="007E3B05" w:rsidRPr="0089630F">
              <w:rPr>
                <w:rFonts w:ascii="Calibri" w:hAnsi="Calibri" w:cs="Calibri"/>
                <w:sz w:val="20"/>
                <w:szCs w:val="20"/>
                <w:lang w:val="en-GB"/>
              </w:rPr>
              <w:t>persons and assets</w:t>
            </w:r>
            <w:r w:rsidR="006C5FF5" w:rsidRPr="0089630F">
              <w:rPr>
                <w:rFonts w:ascii="Calibri" w:hAnsi="Calibri" w:cs="Calibri"/>
                <w:sz w:val="20"/>
                <w:szCs w:val="20"/>
                <w:lang w:val="en-GB"/>
              </w:rPr>
              <w:t>)</w:t>
            </w:r>
            <w:r w:rsidR="007E3B05" w:rsidRPr="0089630F">
              <w:rPr>
                <w:rFonts w:ascii="Calibri" w:hAnsi="Calibri" w:cs="Calibri"/>
                <w:sz w:val="20"/>
                <w:szCs w:val="20"/>
                <w:lang w:val="en-GB"/>
              </w:rPr>
              <w:t>, hazard characteristics</w:t>
            </w:r>
            <w:r w:rsidR="00026F44" w:rsidRPr="0089630F">
              <w:rPr>
                <w:rFonts w:ascii="Calibri" w:hAnsi="Calibri" w:cs="Calibri"/>
                <w:sz w:val="20"/>
                <w:szCs w:val="20"/>
                <w:lang w:val="en-GB"/>
              </w:rPr>
              <w:t xml:space="preserve">, capacity, </w:t>
            </w:r>
            <w:r w:rsidR="007E3B05" w:rsidRPr="0089630F">
              <w:rPr>
                <w:rFonts w:ascii="Calibri" w:hAnsi="Calibri" w:cs="Calibri"/>
                <w:sz w:val="20"/>
                <w:szCs w:val="20"/>
                <w:lang w:val="en-GB"/>
              </w:rPr>
              <w:t xml:space="preserve">and </w:t>
            </w:r>
            <w:r w:rsidR="00AD5161" w:rsidRPr="0089630F">
              <w:rPr>
                <w:rFonts w:ascii="Calibri" w:hAnsi="Calibri" w:cs="Calibri"/>
                <w:sz w:val="20"/>
                <w:szCs w:val="20"/>
                <w:lang w:val="en-GB"/>
              </w:rPr>
              <w:t>their inter-</w:t>
            </w:r>
            <w:r w:rsidR="00382C61" w:rsidRPr="0089630F">
              <w:rPr>
                <w:rFonts w:ascii="Calibri" w:hAnsi="Calibri" w:cs="Calibri"/>
                <w:sz w:val="20"/>
                <w:szCs w:val="20"/>
                <w:lang w:val="en-GB"/>
              </w:rPr>
              <w:t>relationships</w:t>
            </w:r>
            <w:r w:rsidR="007E3B05" w:rsidRPr="0089630F">
              <w:rPr>
                <w:rFonts w:ascii="Calibri" w:hAnsi="Calibri" w:cs="Calibri"/>
                <w:sz w:val="20"/>
                <w:szCs w:val="20"/>
                <w:lang w:val="en-GB"/>
              </w:rPr>
              <w:t>?</w:t>
            </w:r>
            <w:r w:rsidR="00001FF4" w:rsidRPr="0089630F">
              <w:rPr>
                <w:rFonts w:ascii="Calibri" w:hAnsi="Calibri" w:cs="Calibri"/>
                <w:sz w:val="20"/>
                <w:szCs w:val="20"/>
                <w:lang w:val="en-GB"/>
              </w:rPr>
              <w:t xml:space="preserve"> </w:t>
            </w:r>
          </w:p>
          <w:p w14:paraId="3EE1C945" w14:textId="753BD999" w:rsidR="00E279D0" w:rsidRPr="0089630F" w:rsidRDefault="004D45A5" w:rsidP="004D45A5">
            <w:pPr>
              <w:spacing w:beforeLines="40" w:before="96" w:afterLines="40" w:after="96"/>
              <w:jc w:val="both"/>
              <w:rPr>
                <w:rFonts w:ascii="Calibri" w:hAnsi="Calibri" w:cs="Calibri"/>
                <w:sz w:val="20"/>
                <w:szCs w:val="20"/>
                <w:lang w:val="en-GB"/>
              </w:rPr>
            </w:pPr>
            <w:r w:rsidRPr="0089630F">
              <w:rPr>
                <w:rFonts w:ascii="Calibri" w:hAnsi="Calibri" w:cs="Calibri"/>
                <w:i/>
                <w:iCs/>
                <w:sz w:val="20"/>
                <w:szCs w:val="20"/>
                <w:u w:val="single"/>
                <w:lang w:val="en-GB"/>
              </w:rPr>
              <w:t>Probing Questions</w:t>
            </w:r>
            <w:r w:rsidRPr="0089630F">
              <w:rPr>
                <w:rFonts w:ascii="Calibri" w:hAnsi="Calibri" w:cs="Calibri"/>
                <w:sz w:val="20"/>
                <w:szCs w:val="20"/>
                <w:lang w:val="en-GB"/>
              </w:rPr>
              <w:t>:</w:t>
            </w:r>
          </w:p>
          <w:p w14:paraId="414F13EA" w14:textId="20C634F7" w:rsidR="00E53BC4" w:rsidRPr="0089630F" w:rsidRDefault="004D45A5" w:rsidP="000C1DDE">
            <w:pPr>
              <w:pStyle w:val="ListParagraph"/>
              <w:numPr>
                <w:ilvl w:val="0"/>
                <w:numId w:val="10"/>
              </w:num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Are the root causes and underlying drivers of disaster risk better understood</w:t>
            </w:r>
            <w:r w:rsidR="00E53BC4" w:rsidRPr="0089630F">
              <w:rPr>
                <w:rFonts w:ascii="Calibri" w:hAnsi="Calibri" w:cs="Calibri"/>
                <w:sz w:val="20"/>
                <w:szCs w:val="20"/>
                <w:lang w:val="en-GB"/>
              </w:rPr>
              <w:t>?</w:t>
            </w:r>
          </w:p>
          <w:p w14:paraId="6EEAAF96" w14:textId="2DBBDD22" w:rsidR="00B77484" w:rsidRPr="0089630F" w:rsidRDefault="00B77484" w:rsidP="000C1DDE">
            <w:pPr>
              <w:pStyle w:val="ListParagraph"/>
              <w:numPr>
                <w:ilvl w:val="0"/>
                <w:numId w:val="10"/>
              </w:num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 xml:space="preserve">How have vulnerability and/or exposure characteristics been addressed? (For example, in respect of gender or income inequalities, setting and applying of building codes or land zoning regulation, </w:t>
            </w:r>
            <w:r w:rsidR="00227A61" w:rsidRPr="0089630F">
              <w:rPr>
                <w:rFonts w:ascii="Calibri" w:hAnsi="Calibri" w:cs="Calibri"/>
                <w:sz w:val="20"/>
                <w:szCs w:val="20"/>
                <w:lang w:val="en-GB"/>
              </w:rPr>
              <w:t>etc.</w:t>
            </w:r>
            <w:r w:rsidRPr="0089630F">
              <w:rPr>
                <w:rFonts w:ascii="Calibri" w:hAnsi="Calibri" w:cs="Calibri"/>
                <w:sz w:val="20"/>
                <w:szCs w:val="20"/>
                <w:lang w:val="en-GB"/>
              </w:rPr>
              <w:t>)</w:t>
            </w:r>
          </w:p>
          <w:p w14:paraId="0D7395EA" w14:textId="05699A14" w:rsidR="00E279D0" w:rsidRPr="0089630F" w:rsidRDefault="00AD5161" w:rsidP="000C1DDE">
            <w:pPr>
              <w:pStyle w:val="ListParagraph"/>
              <w:numPr>
                <w:ilvl w:val="0"/>
                <w:numId w:val="10"/>
              </w:num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Is the systemic nature of risk</w:t>
            </w:r>
            <w:r w:rsidR="000C1DDE">
              <w:rPr>
                <w:rFonts w:ascii="ZWAdobeF" w:hAnsi="ZWAdobeF" w:cs="ZWAdobeF"/>
                <w:sz w:val="2"/>
                <w:szCs w:val="2"/>
                <w:lang w:val="en-GB"/>
              </w:rPr>
              <w:t>8F</w:t>
            </w:r>
            <w:r w:rsidR="00BE414D" w:rsidRPr="0089630F">
              <w:rPr>
                <w:rStyle w:val="FootnoteReference"/>
                <w:rFonts w:ascii="Calibri" w:hAnsi="Calibri" w:cs="Calibri"/>
                <w:sz w:val="20"/>
                <w:szCs w:val="20"/>
                <w:lang w:val="en-GB"/>
              </w:rPr>
              <w:footnoteReference w:id="10"/>
            </w:r>
            <w:r w:rsidR="004D45A5" w:rsidRPr="0089630F">
              <w:rPr>
                <w:rFonts w:ascii="Calibri" w:hAnsi="Calibri" w:cs="Calibri"/>
                <w:sz w:val="20"/>
                <w:szCs w:val="20"/>
                <w:lang w:val="en-GB"/>
              </w:rPr>
              <w:t xml:space="preserve"> addressed across all sectors, </w:t>
            </w:r>
            <w:r w:rsidR="00E53BC4" w:rsidRPr="0089630F">
              <w:rPr>
                <w:rFonts w:ascii="Calibri" w:hAnsi="Calibri" w:cs="Calibri"/>
                <w:sz w:val="20"/>
                <w:szCs w:val="20"/>
                <w:lang w:val="en-GB"/>
              </w:rPr>
              <w:t>administrative levels</w:t>
            </w:r>
            <w:r w:rsidR="004D45A5" w:rsidRPr="0089630F">
              <w:rPr>
                <w:rFonts w:ascii="Calibri" w:hAnsi="Calibri" w:cs="Calibri"/>
                <w:sz w:val="20"/>
                <w:szCs w:val="20"/>
                <w:lang w:val="en-GB"/>
              </w:rPr>
              <w:t xml:space="preserve"> and disciplines?</w:t>
            </w:r>
          </w:p>
          <w:p w14:paraId="68AAD0D7" w14:textId="5FCB3799" w:rsidR="00337EA4" w:rsidRPr="0089630F" w:rsidRDefault="00337EA4" w:rsidP="000C1DDE">
            <w:pPr>
              <w:pStyle w:val="ListParagraph"/>
              <w:numPr>
                <w:ilvl w:val="0"/>
                <w:numId w:val="10"/>
              </w:num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lastRenderedPageBreak/>
              <w:t>In respect of people and assets in your country, what progress has been made in:</w:t>
            </w:r>
          </w:p>
          <w:p w14:paraId="7C1ABB7E" w14:textId="77777777" w:rsidR="00337EA4" w:rsidRPr="0089630F" w:rsidRDefault="00337EA4" w:rsidP="000C1DDE">
            <w:pPr>
              <w:pStyle w:val="ListParagraph"/>
              <w:numPr>
                <w:ilvl w:val="0"/>
                <w:numId w:val="12"/>
              </w:numPr>
              <w:spacing w:beforeLines="40" w:before="96" w:afterLines="40" w:after="96" w:line="259" w:lineRule="auto"/>
              <w:jc w:val="both"/>
              <w:rPr>
                <w:rFonts w:ascii="Calibri" w:hAnsi="Calibri" w:cs="Calibri"/>
                <w:sz w:val="20"/>
                <w:szCs w:val="20"/>
                <w:lang w:val="en-GB"/>
              </w:rPr>
            </w:pPr>
            <w:r w:rsidRPr="0089630F">
              <w:rPr>
                <w:rFonts w:ascii="Calibri" w:hAnsi="Calibri" w:cs="Calibri"/>
                <w:sz w:val="20"/>
                <w:szCs w:val="20"/>
                <w:lang w:val="en-GB"/>
              </w:rPr>
              <w:t xml:space="preserve">reducing exposure to hazards? </w:t>
            </w:r>
          </w:p>
          <w:p w14:paraId="2897C67D" w14:textId="77777777" w:rsidR="00337EA4" w:rsidRPr="0089630F" w:rsidRDefault="00337EA4" w:rsidP="000C1DDE">
            <w:pPr>
              <w:pStyle w:val="ListParagraph"/>
              <w:numPr>
                <w:ilvl w:val="0"/>
                <w:numId w:val="12"/>
              </w:numPr>
              <w:spacing w:beforeLines="40" w:before="96" w:afterLines="40" w:after="96" w:line="259" w:lineRule="auto"/>
              <w:jc w:val="both"/>
              <w:rPr>
                <w:rFonts w:ascii="Calibri" w:hAnsi="Calibri" w:cs="Calibri"/>
                <w:sz w:val="20"/>
                <w:szCs w:val="20"/>
                <w:lang w:val="en-GB"/>
              </w:rPr>
            </w:pPr>
            <w:r w:rsidRPr="0089630F">
              <w:rPr>
                <w:rFonts w:ascii="Calibri" w:hAnsi="Calibri" w:cs="Calibri"/>
                <w:sz w:val="20"/>
                <w:szCs w:val="20"/>
                <w:lang w:val="en-GB"/>
              </w:rPr>
              <w:t>reducing their vulnerability?</w:t>
            </w:r>
          </w:p>
          <w:p w14:paraId="6C10DD3F" w14:textId="0B8BD313" w:rsidR="00086D7D" w:rsidRPr="0089630F" w:rsidRDefault="00337EA4" w:rsidP="000C1DDE">
            <w:pPr>
              <w:pStyle w:val="ListParagraph"/>
              <w:numPr>
                <w:ilvl w:val="0"/>
                <w:numId w:val="12"/>
              </w:numPr>
              <w:spacing w:beforeLines="40" w:before="96" w:afterLines="40" w:after="96" w:line="259" w:lineRule="auto"/>
              <w:jc w:val="both"/>
              <w:rPr>
                <w:rFonts w:ascii="Calibri" w:hAnsi="Calibri" w:cs="Calibri"/>
                <w:sz w:val="20"/>
                <w:szCs w:val="20"/>
                <w:lang w:val="en-GB"/>
              </w:rPr>
            </w:pPr>
            <w:r w:rsidRPr="0089630F">
              <w:rPr>
                <w:rFonts w:ascii="Calibri" w:hAnsi="Calibri" w:cs="Calibri"/>
                <w:sz w:val="20"/>
                <w:szCs w:val="20"/>
                <w:lang w:val="en-GB"/>
              </w:rPr>
              <w:t xml:space="preserve">augmenting their capacity for risk reduction? </w:t>
            </w:r>
          </w:p>
          <w:p w14:paraId="21413667" w14:textId="7AB9162A" w:rsidR="00643511" w:rsidRPr="0089630F" w:rsidRDefault="00643511" w:rsidP="000C1DDE">
            <w:pPr>
              <w:pStyle w:val="ListParagraph"/>
              <w:numPr>
                <w:ilvl w:val="0"/>
                <w:numId w:val="10"/>
              </w:numPr>
              <w:spacing w:beforeLines="40" w:before="96" w:afterLines="40" w:after="96" w:line="259" w:lineRule="auto"/>
              <w:jc w:val="both"/>
              <w:rPr>
                <w:rFonts w:ascii="Calibri" w:hAnsi="Calibri" w:cs="Calibri"/>
                <w:sz w:val="20"/>
                <w:szCs w:val="20"/>
                <w:lang w:val="en-GB"/>
              </w:rPr>
            </w:pPr>
            <w:r w:rsidRPr="0089630F">
              <w:rPr>
                <w:rFonts w:ascii="Calibri" w:hAnsi="Calibri" w:cs="Calibri"/>
                <w:sz w:val="20"/>
                <w:szCs w:val="20"/>
                <w:lang w:val="en-GB"/>
              </w:rPr>
              <w:t xml:space="preserve">When </w:t>
            </w:r>
            <w:r w:rsidR="00E350E9" w:rsidRPr="0089630F">
              <w:rPr>
                <w:rFonts w:ascii="Calibri" w:hAnsi="Calibri" w:cs="Calibri"/>
                <w:sz w:val="20"/>
                <w:szCs w:val="20"/>
                <w:lang w:val="en-GB"/>
              </w:rPr>
              <w:t>developing your co</w:t>
            </w:r>
            <w:r w:rsidR="00E855FE" w:rsidRPr="0089630F">
              <w:rPr>
                <w:rFonts w:ascii="Calibri" w:hAnsi="Calibri" w:cs="Calibri"/>
                <w:sz w:val="20"/>
                <w:szCs w:val="20"/>
                <w:lang w:val="en-GB"/>
              </w:rPr>
              <w:t>nstituenc</w:t>
            </w:r>
            <w:r w:rsidR="00F310FE" w:rsidRPr="0089630F">
              <w:rPr>
                <w:rFonts w:ascii="Calibri" w:hAnsi="Calibri" w:cs="Calibri"/>
                <w:sz w:val="20"/>
                <w:szCs w:val="20"/>
                <w:lang w:val="en-GB"/>
              </w:rPr>
              <w:t>y</w:t>
            </w:r>
            <w:r w:rsidR="00E350E9" w:rsidRPr="0089630F">
              <w:rPr>
                <w:rFonts w:ascii="Calibri" w:hAnsi="Calibri" w:cs="Calibri"/>
                <w:sz w:val="20"/>
                <w:szCs w:val="20"/>
                <w:lang w:val="en-GB"/>
              </w:rPr>
              <w:t>’s plan (or equivalent), how are</w:t>
            </w:r>
            <w:r w:rsidRPr="0089630F">
              <w:rPr>
                <w:rFonts w:ascii="Calibri" w:hAnsi="Calibri" w:cs="Calibri"/>
                <w:sz w:val="20"/>
                <w:szCs w:val="20"/>
                <w:lang w:val="en-GB"/>
              </w:rPr>
              <w:t xml:space="preserve"> underlying disaster risk</w:t>
            </w:r>
            <w:r w:rsidR="00E350E9" w:rsidRPr="0089630F">
              <w:rPr>
                <w:rFonts w:ascii="Calibri" w:hAnsi="Calibri" w:cs="Calibri"/>
                <w:sz w:val="20"/>
                <w:szCs w:val="20"/>
                <w:lang w:val="en-GB"/>
              </w:rPr>
              <w:t>s</w:t>
            </w:r>
            <w:r w:rsidRPr="0089630F">
              <w:rPr>
                <w:rFonts w:ascii="Calibri" w:hAnsi="Calibri" w:cs="Calibri"/>
                <w:sz w:val="20"/>
                <w:szCs w:val="20"/>
                <w:lang w:val="en-GB"/>
              </w:rPr>
              <w:t xml:space="preserve"> considered?</w:t>
            </w:r>
          </w:p>
        </w:tc>
      </w:tr>
      <w:tr w:rsidR="00053368" w:rsidRPr="0089630F" w14:paraId="28E51AC4" w14:textId="77777777" w:rsidTr="00CA3EED">
        <w:trPr>
          <w:jc w:val="center"/>
        </w:trPr>
        <w:tc>
          <w:tcPr>
            <w:tcW w:w="562" w:type="dxa"/>
            <w:vAlign w:val="center"/>
          </w:tcPr>
          <w:p w14:paraId="5457E41A" w14:textId="4C0FA675" w:rsidR="00A91869" w:rsidRPr="0089630F" w:rsidRDefault="000A737D" w:rsidP="00231F2E">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lastRenderedPageBreak/>
              <w:t>4</w:t>
            </w:r>
          </w:p>
        </w:tc>
        <w:tc>
          <w:tcPr>
            <w:tcW w:w="9639" w:type="dxa"/>
            <w:vAlign w:val="center"/>
          </w:tcPr>
          <w:p w14:paraId="4AD6AE2F" w14:textId="77777777" w:rsidR="00A91869" w:rsidRPr="0089630F" w:rsidRDefault="00A91869" w:rsidP="00231F2E">
            <w:pPr>
              <w:spacing w:before="120" w:after="120"/>
              <w:jc w:val="both"/>
              <w:rPr>
                <w:rFonts w:ascii="Calibri" w:hAnsi="Calibri" w:cs="Calibri"/>
                <w:sz w:val="20"/>
                <w:szCs w:val="20"/>
                <w:lang w:val="en-GB"/>
              </w:rPr>
            </w:pPr>
            <w:r w:rsidRPr="0089630F">
              <w:rPr>
                <w:rFonts w:ascii="Calibri" w:hAnsi="Calibri" w:cs="Calibri"/>
                <w:sz w:val="20"/>
                <w:szCs w:val="20"/>
                <w:lang w:val="en-GB"/>
              </w:rPr>
              <w:t xml:space="preserve">How are traditional, indigenous and local knowledge and communities, in addition to scientific and technological insights, participating and guiding risk assessment and risk-informed decision making and investment? </w:t>
            </w:r>
          </w:p>
        </w:tc>
      </w:tr>
      <w:tr w:rsidR="008F048F" w:rsidRPr="0089630F" w14:paraId="06AD8AA4" w14:textId="77777777" w:rsidTr="00CA3EED">
        <w:trPr>
          <w:trHeight w:val="251"/>
          <w:jc w:val="center"/>
        </w:trPr>
        <w:tc>
          <w:tcPr>
            <w:tcW w:w="10201" w:type="dxa"/>
            <w:gridSpan w:val="2"/>
            <w:shd w:val="clear" w:color="auto" w:fill="D9D9D9" w:themeFill="background1" w:themeFillShade="D9"/>
            <w:vAlign w:val="center"/>
          </w:tcPr>
          <w:p w14:paraId="16DABDEA" w14:textId="65251E9E" w:rsidR="008F048F" w:rsidRPr="0089630F" w:rsidRDefault="458CA4A9" w:rsidP="00505CDD">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Risk Governance</w:t>
            </w:r>
            <w:r w:rsidR="00475685" w:rsidRPr="0089630F">
              <w:rPr>
                <w:rFonts w:ascii="Calibri" w:hAnsi="Calibri" w:cs="Calibri"/>
                <w:sz w:val="20"/>
                <w:szCs w:val="20"/>
                <w:lang w:val="en-GB"/>
              </w:rPr>
              <w:t xml:space="preserve"> and Management</w:t>
            </w:r>
            <w:r w:rsidR="00E350E9" w:rsidRPr="0089630F">
              <w:rPr>
                <w:rFonts w:ascii="Calibri" w:hAnsi="Calibri" w:cs="Calibri"/>
                <w:sz w:val="20"/>
                <w:szCs w:val="20"/>
                <w:lang w:val="en-GB"/>
              </w:rPr>
              <w:t xml:space="preserve"> </w:t>
            </w:r>
            <w:r w:rsidR="00265CD7" w:rsidRPr="0089630F">
              <w:rPr>
                <w:rFonts w:ascii="Calibri" w:hAnsi="Calibri" w:cs="Calibri"/>
                <w:sz w:val="20"/>
                <w:szCs w:val="20"/>
                <w:lang w:val="en-GB"/>
              </w:rPr>
              <w:t>[</w:t>
            </w:r>
            <w:r w:rsidR="00E350E9" w:rsidRPr="0089630F">
              <w:rPr>
                <w:rFonts w:ascii="Calibri" w:hAnsi="Calibri" w:cs="Calibri"/>
                <w:sz w:val="20"/>
                <w:szCs w:val="20"/>
                <w:lang w:val="en-GB"/>
              </w:rPr>
              <w:t>Section III.C.</w:t>
            </w:r>
            <w:r w:rsidR="00265CD7" w:rsidRPr="0089630F">
              <w:rPr>
                <w:rFonts w:ascii="Calibri" w:hAnsi="Calibri" w:cs="Calibri"/>
                <w:sz w:val="20"/>
                <w:szCs w:val="20"/>
                <w:lang w:val="en-GB"/>
              </w:rPr>
              <w:t>]</w:t>
            </w:r>
          </w:p>
        </w:tc>
      </w:tr>
      <w:tr w:rsidR="009352D4" w:rsidRPr="0089630F" w14:paraId="1EC95328" w14:textId="77777777" w:rsidTr="00CA3EED">
        <w:trPr>
          <w:jc w:val="center"/>
        </w:trPr>
        <w:tc>
          <w:tcPr>
            <w:tcW w:w="562" w:type="dxa"/>
            <w:vAlign w:val="center"/>
          </w:tcPr>
          <w:p w14:paraId="1D3CA8BF" w14:textId="0F71BA03" w:rsidR="009352D4" w:rsidRPr="0089630F" w:rsidRDefault="000A737D" w:rsidP="005D234C">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5</w:t>
            </w:r>
          </w:p>
        </w:tc>
        <w:tc>
          <w:tcPr>
            <w:tcW w:w="9639" w:type="dxa"/>
            <w:vAlign w:val="center"/>
          </w:tcPr>
          <w:p w14:paraId="64D32536" w14:textId="77777777" w:rsidR="00051233" w:rsidRPr="0089630F" w:rsidRDefault="00051233" w:rsidP="00051233">
            <w:pPr>
              <w:spacing w:before="120" w:after="120"/>
              <w:jc w:val="both"/>
              <w:rPr>
                <w:rFonts w:ascii="Calibri" w:hAnsi="Calibri" w:cs="Calibri"/>
                <w:sz w:val="20"/>
                <w:szCs w:val="20"/>
                <w:lang w:val="en-GB"/>
              </w:rPr>
            </w:pPr>
            <w:r w:rsidRPr="0089630F">
              <w:rPr>
                <w:rFonts w:ascii="Calibri" w:hAnsi="Calibri" w:cs="Calibri"/>
                <w:sz w:val="20"/>
                <w:szCs w:val="20"/>
                <w:lang w:val="en-GB"/>
              </w:rPr>
              <w:t>How has national and local public policy, legislation, planning and organisation changed to align with the Sendai Framework?</w:t>
            </w:r>
          </w:p>
          <w:p w14:paraId="13476562" w14:textId="650B709A" w:rsidR="00051233" w:rsidRPr="0089630F" w:rsidRDefault="00051233" w:rsidP="00051233">
            <w:pPr>
              <w:spacing w:beforeLines="40" w:before="96" w:afterLines="40" w:after="96"/>
              <w:jc w:val="both"/>
              <w:rPr>
                <w:rFonts w:ascii="Calibri" w:hAnsi="Calibri" w:cs="Calibri"/>
                <w:sz w:val="20"/>
                <w:szCs w:val="20"/>
                <w:lang w:val="en-GB"/>
              </w:rPr>
            </w:pPr>
            <w:r w:rsidRPr="0089630F">
              <w:rPr>
                <w:rFonts w:ascii="Calibri" w:hAnsi="Calibri" w:cs="Calibri"/>
                <w:i/>
                <w:iCs/>
                <w:sz w:val="20"/>
                <w:szCs w:val="20"/>
                <w:u w:val="single"/>
                <w:lang w:val="en-GB"/>
              </w:rPr>
              <w:t>Probing Question</w:t>
            </w:r>
            <w:r w:rsidRPr="0089630F">
              <w:rPr>
                <w:rFonts w:ascii="Calibri" w:hAnsi="Calibri" w:cs="Calibri"/>
                <w:sz w:val="20"/>
                <w:szCs w:val="20"/>
                <w:lang w:val="en-GB"/>
              </w:rPr>
              <w:t>:</w:t>
            </w:r>
          </w:p>
          <w:p w14:paraId="2F9BFB97" w14:textId="6EF37D1C" w:rsidR="009352D4" w:rsidRPr="0089630F" w:rsidRDefault="007D7048" w:rsidP="000C1DDE">
            <w:pPr>
              <w:pStyle w:val="ListParagraph"/>
              <w:numPr>
                <w:ilvl w:val="0"/>
                <w:numId w:val="14"/>
              </w:numPr>
              <w:spacing w:beforeLines="40" w:before="96" w:afterLines="40" w:after="96" w:line="259" w:lineRule="auto"/>
              <w:jc w:val="both"/>
              <w:rPr>
                <w:rFonts w:ascii="Calibri" w:hAnsi="Calibri" w:cs="Calibri"/>
                <w:sz w:val="20"/>
                <w:szCs w:val="20"/>
                <w:lang w:val="en-GB"/>
              </w:rPr>
            </w:pPr>
            <w:r w:rsidRPr="0089630F">
              <w:rPr>
                <w:rFonts w:ascii="Calibri" w:hAnsi="Calibri" w:cs="Calibri"/>
                <w:sz w:val="20"/>
                <w:szCs w:val="20"/>
                <w:lang w:val="en-GB"/>
              </w:rPr>
              <w:t xml:space="preserve">Is the </w:t>
            </w:r>
            <w:r w:rsidR="00051233" w:rsidRPr="0089630F">
              <w:rPr>
                <w:rFonts w:ascii="Calibri" w:hAnsi="Calibri" w:cs="Calibri"/>
                <w:sz w:val="20"/>
                <w:szCs w:val="20"/>
                <w:lang w:val="en-GB"/>
              </w:rPr>
              <w:t>national DRR strateg</w:t>
            </w:r>
            <w:r w:rsidRPr="0089630F">
              <w:rPr>
                <w:rFonts w:ascii="Calibri" w:hAnsi="Calibri" w:cs="Calibri"/>
                <w:sz w:val="20"/>
                <w:szCs w:val="20"/>
                <w:lang w:val="en-GB"/>
              </w:rPr>
              <w:t>y or plan</w:t>
            </w:r>
            <w:r w:rsidR="00C326AE" w:rsidRPr="0089630F">
              <w:rPr>
                <w:rFonts w:ascii="Calibri" w:hAnsi="Calibri" w:cs="Calibri"/>
                <w:sz w:val="20"/>
                <w:szCs w:val="20"/>
                <w:lang w:val="en-GB"/>
              </w:rPr>
              <w:t xml:space="preserve"> </w:t>
            </w:r>
            <w:r w:rsidRPr="0089630F">
              <w:rPr>
                <w:rFonts w:ascii="Calibri" w:hAnsi="Calibri" w:cs="Calibri"/>
                <w:sz w:val="20"/>
                <w:szCs w:val="20"/>
                <w:lang w:val="en-GB"/>
              </w:rPr>
              <w:t>being</w:t>
            </w:r>
            <w:r w:rsidR="00051233" w:rsidRPr="0089630F">
              <w:rPr>
                <w:rFonts w:ascii="Calibri" w:hAnsi="Calibri" w:cs="Calibri"/>
                <w:sz w:val="20"/>
                <w:szCs w:val="20"/>
                <w:lang w:val="en-GB"/>
              </w:rPr>
              <w:t xml:space="preserve"> implemented? If not, what</w:t>
            </w:r>
            <w:r w:rsidR="00C70AB4" w:rsidRPr="0089630F">
              <w:rPr>
                <w:rFonts w:ascii="Calibri" w:hAnsi="Calibri" w:cs="Calibri"/>
                <w:sz w:val="20"/>
                <w:szCs w:val="20"/>
                <w:lang w:val="en-GB"/>
              </w:rPr>
              <w:t xml:space="preserve"> are</w:t>
            </w:r>
            <w:r w:rsidR="00051233" w:rsidRPr="0089630F">
              <w:rPr>
                <w:rFonts w:ascii="Calibri" w:hAnsi="Calibri" w:cs="Calibri"/>
                <w:sz w:val="20"/>
                <w:szCs w:val="20"/>
                <w:lang w:val="en-GB"/>
              </w:rPr>
              <w:t xml:space="preserve"> the reasons?</w:t>
            </w:r>
          </w:p>
          <w:p w14:paraId="1BD6E887" w14:textId="4BD941EA" w:rsidR="007D7048" w:rsidRPr="0089630F" w:rsidRDefault="007D7048" w:rsidP="000C1DDE">
            <w:pPr>
              <w:pStyle w:val="ListParagraph"/>
              <w:numPr>
                <w:ilvl w:val="0"/>
                <w:numId w:val="14"/>
              </w:numPr>
              <w:spacing w:beforeLines="40" w:before="96" w:afterLines="40" w:after="96" w:line="259" w:lineRule="auto"/>
              <w:jc w:val="both"/>
              <w:rPr>
                <w:rFonts w:ascii="Calibri" w:hAnsi="Calibri" w:cs="Calibri"/>
                <w:sz w:val="20"/>
                <w:szCs w:val="20"/>
                <w:lang w:val="en-GB"/>
              </w:rPr>
            </w:pPr>
            <w:r w:rsidRPr="0089630F">
              <w:rPr>
                <w:rFonts w:ascii="Calibri" w:hAnsi="Calibri" w:cs="Calibri"/>
                <w:sz w:val="20"/>
                <w:szCs w:val="20"/>
                <w:lang w:val="en-GB"/>
              </w:rPr>
              <w:t xml:space="preserve">What percentage of local DRR strategies and plans </w:t>
            </w:r>
            <w:r w:rsidR="00C70AB4" w:rsidRPr="0089630F">
              <w:rPr>
                <w:rFonts w:ascii="Calibri" w:hAnsi="Calibri" w:cs="Calibri"/>
                <w:sz w:val="20"/>
                <w:szCs w:val="20"/>
                <w:lang w:val="en-GB"/>
              </w:rPr>
              <w:t>are being</w:t>
            </w:r>
            <w:r w:rsidRPr="0089630F">
              <w:rPr>
                <w:rFonts w:ascii="Calibri" w:hAnsi="Calibri" w:cs="Calibri"/>
                <w:sz w:val="20"/>
                <w:szCs w:val="20"/>
                <w:lang w:val="en-GB"/>
              </w:rPr>
              <w:t xml:space="preserve"> implemented</w:t>
            </w:r>
            <w:r w:rsidR="00C70AB4" w:rsidRPr="0089630F">
              <w:rPr>
                <w:rFonts w:ascii="Calibri" w:hAnsi="Calibri" w:cs="Calibri"/>
                <w:sz w:val="20"/>
                <w:szCs w:val="20"/>
                <w:lang w:val="en-GB"/>
              </w:rPr>
              <w:t>?</w:t>
            </w:r>
          </w:p>
          <w:p w14:paraId="3B226CD9" w14:textId="1F5BE2F2" w:rsidR="008377B6" w:rsidRPr="0089630F" w:rsidRDefault="00031D88" w:rsidP="000C1DDE">
            <w:pPr>
              <w:pStyle w:val="ListParagraph"/>
              <w:numPr>
                <w:ilvl w:val="0"/>
                <w:numId w:val="14"/>
              </w:numPr>
              <w:spacing w:beforeLines="40" w:before="96" w:afterLines="40" w:after="96" w:line="259" w:lineRule="auto"/>
              <w:jc w:val="both"/>
              <w:rPr>
                <w:rFonts w:ascii="Calibri" w:hAnsi="Calibri" w:cs="Calibri"/>
                <w:sz w:val="20"/>
                <w:szCs w:val="20"/>
                <w:lang w:val="en-GB"/>
              </w:rPr>
            </w:pPr>
            <w:r w:rsidRPr="0089630F">
              <w:rPr>
                <w:sz w:val="20"/>
                <w:szCs w:val="20"/>
                <w:lang w:val="en-GB"/>
              </w:rPr>
              <w:t xml:space="preserve">What changes have been observed in </w:t>
            </w:r>
            <w:r w:rsidR="008377B6" w:rsidRPr="0089630F">
              <w:rPr>
                <w:sz w:val="20"/>
                <w:szCs w:val="20"/>
                <w:lang w:val="en-GB"/>
              </w:rPr>
              <w:t xml:space="preserve">diversity in </w:t>
            </w:r>
            <w:r w:rsidR="007D7048" w:rsidRPr="0089630F">
              <w:rPr>
                <w:sz w:val="20"/>
                <w:szCs w:val="20"/>
                <w:lang w:val="en-GB"/>
              </w:rPr>
              <w:t xml:space="preserve">DRR </w:t>
            </w:r>
            <w:r w:rsidR="008377B6" w:rsidRPr="0089630F">
              <w:rPr>
                <w:sz w:val="20"/>
                <w:szCs w:val="20"/>
                <w:lang w:val="en-GB"/>
              </w:rPr>
              <w:t>leadership since 2015</w:t>
            </w:r>
            <w:r w:rsidRPr="0089630F">
              <w:rPr>
                <w:sz w:val="20"/>
                <w:szCs w:val="20"/>
                <w:lang w:val="en-GB"/>
              </w:rPr>
              <w:t>, particularly</w:t>
            </w:r>
            <w:r w:rsidR="008377B6" w:rsidRPr="0089630F">
              <w:rPr>
                <w:sz w:val="20"/>
                <w:szCs w:val="20"/>
                <w:lang w:val="en-GB"/>
              </w:rPr>
              <w:t xml:space="preserve"> in terms of inclusive and diverse decision-making</w:t>
            </w:r>
            <w:r w:rsidRPr="0089630F">
              <w:rPr>
                <w:sz w:val="20"/>
                <w:szCs w:val="20"/>
                <w:lang w:val="en-GB"/>
              </w:rPr>
              <w:t>?</w:t>
            </w:r>
          </w:p>
        </w:tc>
      </w:tr>
      <w:tr w:rsidR="009352D4" w:rsidRPr="0089630F" w14:paraId="5BA724E7" w14:textId="77777777" w:rsidTr="00CA3EED">
        <w:trPr>
          <w:jc w:val="center"/>
        </w:trPr>
        <w:tc>
          <w:tcPr>
            <w:tcW w:w="562" w:type="dxa"/>
            <w:vAlign w:val="center"/>
          </w:tcPr>
          <w:p w14:paraId="0101283B" w14:textId="18F9C0F6" w:rsidR="009352D4" w:rsidRPr="0089630F" w:rsidRDefault="000A737D" w:rsidP="005D234C">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6</w:t>
            </w:r>
          </w:p>
        </w:tc>
        <w:tc>
          <w:tcPr>
            <w:tcW w:w="9639" w:type="dxa"/>
            <w:vAlign w:val="center"/>
          </w:tcPr>
          <w:p w14:paraId="02813F06" w14:textId="23C3E8F8" w:rsidR="00C451B2" w:rsidRPr="0089630F" w:rsidRDefault="00C451B2" w:rsidP="00C451B2">
            <w:pPr>
              <w:spacing w:before="120" w:after="120"/>
              <w:jc w:val="both"/>
              <w:rPr>
                <w:rFonts w:ascii="Calibri" w:hAnsi="Calibri" w:cs="Calibri"/>
                <w:sz w:val="20"/>
                <w:szCs w:val="20"/>
                <w:lang w:val="en-GB"/>
              </w:rPr>
            </w:pPr>
            <w:r w:rsidRPr="0089630F">
              <w:rPr>
                <w:rFonts w:ascii="Calibri" w:hAnsi="Calibri" w:cs="Calibri"/>
                <w:sz w:val="20"/>
                <w:szCs w:val="20"/>
                <w:lang w:val="en-GB"/>
              </w:rPr>
              <w:t xml:space="preserve">How important has the establishment of regional, sub-regional, national and local disaster risk reduction strategies and plans been to the realisation of the outcome, goal </w:t>
            </w:r>
            <w:r w:rsidR="00484ED0" w:rsidRPr="0089630F">
              <w:rPr>
                <w:rFonts w:ascii="Calibri" w:hAnsi="Calibri" w:cs="Calibri"/>
                <w:sz w:val="20"/>
                <w:szCs w:val="20"/>
                <w:lang w:val="en-GB"/>
              </w:rPr>
              <w:t>and targets</w:t>
            </w:r>
            <w:r w:rsidRPr="0089630F">
              <w:rPr>
                <w:rFonts w:ascii="Calibri" w:hAnsi="Calibri" w:cs="Calibri"/>
                <w:sz w:val="20"/>
                <w:szCs w:val="20"/>
                <w:lang w:val="en-GB"/>
              </w:rPr>
              <w:t xml:space="preserve"> of the Sendai Framework?</w:t>
            </w:r>
          </w:p>
          <w:p w14:paraId="335B75FD" w14:textId="77777777" w:rsidR="00C451B2" w:rsidRPr="0089630F" w:rsidRDefault="00C451B2" w:rsidP="00C451B2">
            <w:pPr>
              <w:spacing w:beforeLines="40" w:before="96" w:afterLines="40" w:after="96"/>
              <w:jc w:val="both"/>
              <w:rPr>
                <w:rFonts w:ascii="Calibri" w:hAnsi="Calibri" w:cs="Calibri"/>
                <w:sz w:val="20"/>
                <w:szCs w:val="20"/>
                <w:lang w:val="en-GB"/>
              </w:rPr>
            </w:pPr>
            <w:r w:rsidRPr="0089630F">
              <w:rPr>
                <w:rFonts w:ascii="Calibri" w:hAnsi="Calibri" w:cs="Calibri"/>
                <w:i/>
                <w:iCs/>
                <w:sz w:val="20"/>
                <w:szCs w:val="20"/>
                <w:u w:val="single"/>
                <w:lang w:val="en-GB"/>
              </w:rPr>
              <w:t>Probing Questions</w:t>
            </w:r>
            <w:r w:rsidRPr="0089630F">
              <w:rPr>
                <w:rFonts w:ascii="Calibri" w:hAnsi="Calibri" w:cs="Calibri"/>
                <w:sz w:val="20"/>
                <w:szCs w:val="20"/>
                <w:lang w:val="en-GB"/>
              </w:rPr>
              <w:t>:</w:t>
            </w:r>
          </w:p>
          <w:p w14:paraId="699D5216" w14:textId="3D323CAD" w:rsidR="00761209" w:rsidRPr="0089630F" w:rsidRDefault="00C451B2" w:rsidP="000C1DDE">
            <w:pPr>
              <w:pStyle w:val="ListParagraph"/>
              <w:numPr>
                <w:ilvl w:val="0"/>
                <w:numId w:val="13"/>
              </w:numPr>
              <w:spacing w:beforeLines="40" w:before="96" w:afterLines="40" w:after="96" w:line="259" w:lineRule="auto"/>
              <w:jc w:val="both"/>
              <w:rPr>
                <w:rFonts w:ascii="Calibri" w:hAnsi="Calibri" w:cs="Calibri"/>
                <w:sz w:val="20"/>
                <w:szCs w:val="20"/>
                <w:lang w:val="en-GB"/>
              </w:rPr>
            </w:pPr>
            <w:r w:rsidRPr="0089630F">
              <w:rPr>
                <w:rFonts w:ascii="Calibri" w:hAnsi="Calibri" w:cs="Calibri"/>
                <w:sz w:val="20"/>
                <w:szCs w:val="20"/>
                <w:lang w:val="en-GB"/>
              </w:rPr>
              <w:t>Has the establishment of national and/or local DRR strategies and plans resulted in expanded efforts in risk reduction?</w:t>
            </w:r>
          </w:p>
          <w:p w14:paraId="2471062C" w14:textId="58BA1FF4" w:rsidR="009352D4" w:rsidRPr="0089630F" w:rsidRDefault="00C451B2" w:rsidP="000C1DDE">
            <w:pPr>
              <w:pStyle w:val="ListParagraph"/>
              <w:numPr>
                <w:ilvl w:val="0"/>
                <w:numId w:val="13"/>
              </w:numPr>
              <w:spacing w:beforeLines="40" w:before="96" w:afterLines="40" w:after="96" w:line="259" w:lineRule="auto"/>
              <w:jc w:val="both"/>
              <w:rPr>
                <w:rFonts w:ascii="Calibri" w:hAnsi="Calibri" w:cs="Calibri"/>
                <w:sz w:val="20"/>
                <w:szCs w:val="20"/>
                <w:lang w:val="en-GB"/>
              </w:rPr>
            </w:pPr>
            <w:r w:rsidRPr="0089630F">
              <w:rPr>
                <w:rFonts w:ascii="Calibri" w:hAnsi="Calibri" w:cs="Calibri"/>
                <w:sz w:val="20"/>
                <w:szCs w:val="20"/>
                <w:lang w:val="en-GB"/>
              </w:rPr>
              <w:t xml:space="preserve">How </w:t>
            </w:r>
            <w:r w:rsidRPr="0089630F">
              <w:rPr>
                <w:rFonts w:ascii="Calibri" w:hAnsi="Calibri" w:cs="Calibri"/>
                <w:color w:val="000000"/>
                <w:sz w:val="20"/>
                <w:szCs w:val="20"/>
                <w:lang w:val="en-GB" w:eastAsia="en-GB"/>
              </w:rPr>
              <w:t>are national and local strategies being integrated within plans and actions supporting the realization of the goals and targets of inter alia the 2030 Agenda for Sustainable Development and the Paris Agreement?</w:t>
            </w:r>
          </w:p>
        </w:tc>
      </w:tr>
      <w:tr w:rsidR="00626DC9" w:rsidRPr="0089630F" w14:paraId="36F5FD48" w14:textId="77777777" w:rsidTr="00CA3EED">
        <w:trPr>
          <w:jc w:val="center"/>
        </w:trPr>
        <w:tc>
          <w:tcPr>
            <w:tcW w:w="562" w:type="dxa"/>
            <w:vAlign w:val="center"/>
          </w:tcPr>
          <w:p w14:paraId="3453E87B" w14:textId="406C55DD" w:rsidR="001A3551" w:rsidRPr="0089630F" w:rsidRDefault="000A737D" w:rsidP="00231F2E">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7</w:t>
            </w:r>
          </w:p>
        </w:tc>
        <w:tc>
          <w:tcPr>
            <w:tcW w:w="9639" w:type="dxa"/>
            <w:vAlign w:val="center"/>
          </w:tcPr>
          <w:p w14:paraId="120A79F9" w14:textId="77777777" w:rsidR="001A3551" w:rsidRPr="0089630F" w:rsidRDefault="001A3551" w:rsidP="00231F2E">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Since the adoption of the Sendai Framework, to what degree has understanding disaster risks, their root causes and their incorporation in public and private decision making and investment become a ‘due diligence’ requirement by law?</w:t>
            </w:r>
          </w:p>
        </w:tc>
      </w:tr>
      <w:tr w:rsidR="009352D4" w:rsidRPr="0089630F" w14:paraId="435F8640" w14:textId="77777777" w:rsidTr="00CA3EED">
        <w:trPr>
          <w:jc w:val="center"/>
        </w:trPr>
        <w:tc>
          <w:tcPr>
            <w:tcW w:w="562" w:type="dxa"/>
            <w:vAlign w:val="center"/>
          </w:tcPr>
          <w:p w14:paraId="50CEC2A1" w14:textId="1726D77B" w:rsidR="009352D4" w:rsidRPr="0089630F" w:rsidRDefault="000A737D" w:rsidP="005D234C">
            <w:pPr>
              <w:spacing w:beforeLines="40" w:before="96" w:afterLines="40" w:after="96"/>
              <w:jc w:val="both"/>
              <w:rPr>
                <w:rFonts w:ascii="Calibri" w:hAnsi="Calibri" w:cs="Calibri"/>
                <w:sz w:val="20"/>
                <w:szCs w:val="20"/>
                <w:lang w:val="en-GB"/>
              </w:rPr>
            </w:pPr>
            <w:bookmarkStart w:id="1" w:name="_Hlk91070228"/>
            <w:r w:rsidRPr="0089630F">
              <w:rPr>
                <w:rFonts w:ascii="Calibri" w:hAnsi="Calibri" w:cs="Calibri"/>
                <w:sz w:val="20"/>
                <w:szCs w:val="20"/>
                <w:lang w:val="en-GB"/>
              </w:rPr>
              <w:t>8</w:t>
            </w:r>
          </w:p>
        </w:tc>
        <w:tc>
          <w:tcPr>
            <w:tcW w:w="9639" w:type="dxa"/>
            <w:vAlign w:val="center"/>
          </w:tcPr>
          <w:p w14:paraId="2D365108" w14:textId="7F148CCD" w:rsidR="00BE66A7" w:rsidRPr="0089630F" w:rsidRDefault="0002704D" w:rsidP="005D234C">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 xml:space="preserve">How has the </w:t>
            </w:r>
            <w:r w:rsidR="003B6024" w:rsidRPr="0089630F">
              <w:rPr>
                <w:rFonts w:ascii="Calibri" w:hAnsi="Calibri" w:cs="Calibri"/>
                <w:sz w:val="20"/>
                <w:szCs w:val="20"/>
                <w:lang w:val="en-GB"/>
              </w:rPr>
              <w:t>Guiding P</w:t>
            </w:r>
            <w:r w:rsidRPr="0089630F">
              <w:rPr>
                <w:rFonts w:ascii="Calibri" w:hAnsi="Calibri" w:cs="Calibri"/>
                <w:sz w:val="20"/>
                <w:szCs w:val="20"/>
                <w:lang w:val="en-GB"/>
              </w:rPr>
              <w:t xml:space="preserve">rinciple of shared responsibility between central </w:t>
            </w:r>
            <w:r w:rsidR="00235C6E" w:rsidRPr="0089630F">
              <w:rPr>
                <w:rFonts w:ascii="Calibri" w:hAnsi="Calibri" w:cs="Calibri"/>
                <w:sz w:val="20"/>
                <w:szCs w:val="20"/>
                <w:lang w:val="en-GB"/>
              </w:rPr>
              <w:t xml:space="preserve">Governments </w:t>
            </w:r>
            <w:r w:rsidRPr="0089630F">
              <w:rPr>
                <w:rFonts w:ascii="Calibri" w:hAnsi="Calibri" w:cs="Calibri"/>
                <w:sz w:val="20"/>
                <w:szCs w:val="20"/>
                <w:lang w:val="en-GB"/>
              </w:rPr>
              <w:t xml:space="preserve">and local authorities, sectors and stakeholders been applied? </w:t>
            </w:r>
            <w:r w:rsidR="0091161F" w:rsidRPr="0089630F">
              <w:rPr>
                <w:rFonts w:ascii="Calibri" w:hAnsi="Calibri" w:cs="Calibri"/>
                <w:sz w:val="20"/>
                <w:szCs w:val="20"/>
                <w:lang w:val="en-GB"/>
              </w:rPr>
              <w:t>Describe good practices</w:t>
            </w:r>
          </w:p>
          <w:p w14:paraId="2291D059" w14:textId="4F6839B6" w:rsidR="0091161F" w:rsidRPr="0089630F" w:rsidRDefault="0091161F" w:rsidP="0091161F">
            <w:pPr>
              <w:spacing w:beforeLines="40" w:before="96" w:afterLines="40" w:after="96"/>
              <w:jc w:val="both"/>
              <w:rPr>
                <w:rFonts w:ascii="Calibri" w:hAnsi="Calibri" w:cs="Calibri"/>
                <w:sz w:val="20"/>
                <w:szCs w:val="20"/>
                <w:lang w:val="en-GB"/>
              </w:rPr>
            </w:pPr>
            <w:r w:rsidRPr="0089630F">
              <w:rPr>
                <w:rFonts w:ascii="Calibri" w:hAnsi="Calibri" w:cs="Calibri"/>
                <w:i/>
                <w:iCs/>
                <w:sz w:val="20"/>
                <w:szCs w:val="20"/>
                <w:u w:val="single"/>
                <w:lang w:val="en-GB"/>
              </w:rPr>
              <w:t>Probing Question</w:t>
            </w:r>
            <w:r w:rsidR="00741B08" w:rsidRPr="0089630F">
              <w:rPr>
                <w:rFonts w:ascii="Calibri" w:hAnsi="Calibri" w:cs="Calibri"/>
                <w:i/>
                <w:iCs/>
                <w:sz w:val="20"/>
                <w:szCs w:val="20"/>
                <w:u w:val="single"/>
                <w:lang w:val="en-GB"/>
              </w:rPr>
              <w:t>s</w:t>
            </w:r>
            <w:r w:rsidRPr="0089630F">
              <w:rPr>
                <w:rFonts w:ascii="Calibri" w:hAnsi="Calibri" w:cs="Calibri"/>
                <w:sz w:val="20"/>
                <w:szCs w:val="20"/>
                <w:lang w:val="en-GB"/>
              </w:rPr>
              <w:t>:</w:t>
            </w:r>
          </w:p>
          <w:p w14:paraId="58C052B2" w14:textId="3E5B4216" w:rsidR="00E0226A" w:rsidRPr="0089630F" w:rsidRDefault="005E1DBC" w:rsidP="000C1DDE">
            <w:pPr>
              <w:pStyle w:val="ListParagraph"/>
              <w:numPr>
                <w:ilvl w:val="0"/>
                <w:numId w:val="15"/>
              </w:num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What measures ha</w:t>
            </w:r>
            <w:r w:rsidR="00C70AB4" w:rsidRPr="0089630F">
              <w:rPr>
                <w:rFonts w:ascii="Calibri" w:hAnsi="Calibri" w:cs="Calibri"/>
                <w:sz w:val="20"/>
                <w:szCs w:val="20"/>
                <w:lang w:val="en-GB"/>
              </w:rPr>
              <w:t xml:space="preserve">s </w:t>
            </w:r>
            <w:r w:rsidR="005264C7" w:rsidRPr="0089630F">
              <w:rPr>
                <w:rFonts w:ascii="Calibri" w:hAnsi="Calibri" w:cs="Calibri"/>
                <w:sz w:val="20"/>
                <w:szCs w:val="20"/>
                <w:lang w:val="en-GB"/>
              </w:rPr>
              <w:t>the</w:t>
            </w:r>
            <w:r w:rsidRPr="0089630F">
              <w:rPr>
                <w:rFonts w:ascii="Calibri" w:hAnsi="Calibri" w:cs="Calibri"/>
                <w:sz w:val="20"/>
                <w:szCs w:val="20"/>
                <w:lang w:val="en-GB"/>
              </w:rPr>
              <w:t xml:space="preserve"> countr</w:t>
            </w:r>
            <w:r w:rsidR="00C70AB4" w:rsidRPr="0089630F">
              <w:rPr>
                <w:rFonts w:ascii="Calibri" w:hAnsi="Calibri" w:cs="Calibri"/>
                <w:sz w:val="20"/>
                <w:szCs w:val="20"/>
                <w:lang w:val="en-GB"/>
              </w:rPr>
              <w:t>y</w:t>
            </w:r>
            <w:r w:rsidR="00B36189" w:rsidRPr="0089630F">
              <w:rPr>
                <w:rFonts w:ascii="Calibri" w:hAnsi="Calibri" w:cs="Calibri"/>
                <w:sz w:val="20"/>
                <w:szCs w:val="20"/>
                <w:lang w:val="en-GB"/>
              </w:rPr>
              <w:t xml:space="preserve"> / countries in which you operate</w:t>
            </w:r>
            <w:r w:rsidRPr="0089630F">
              <w:rPr>
                <w:rFonts w:ascii="Calibri" w:hAnsi="Calibri" w:cs="Calibri"/>
                <w:sz w:val="20"/>
                <w:szCs w:val="20"/>
                <w:lang w:val="en-GB"/>
              </w:rPr>
              <w:t xml:space="preserve"> taken to enable integrated management of disaster risk across institutions and sectors?</w:t>
            </w:r>
          </w:p>
          <w:p w14:paraId="384288AC" w14:textId="6B820B18" w:rsidR="00F711ED" w:rsidRPr="0089630F" w:rsidRDefault="00F711ED" w:rsidP="000C1DDE">
            <w:pPr>
              <w:pStyle w:val="ListParagraph"/>
              <w:numPr>
                <w:ilvl w:val="0"/>
                <w:numId w:val="15"/>
              </w:num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To what extent is the Sendai Framework known and being applied at sub-national and local levels?</w:t>
            </w:r>
          </w:p>
          <w:p w14:paraId="270D735B" w14:textId="25BF4782" w:rsidR="00B40FBC" w:rsidRPr="0089630F" w:rsidRDefault="00B40FBC" w:rsidP="000C1DDE">
            <w:pPr>
              <w:pStyle w:val="ListParagraph"/>
              <w:numPr>
                <w:ilvl w:val="0"/>
                <w:numId w:val="15"/>
              </w:num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What measures ha</w:t>
            </w:r>
            <w:r w:rsidR="00C70AB4" w:rsidRPr="0089630F">
              <w:rPr>
                <w:rFonts w:ascii="Calibri" w:hAnsi="Calibri" w:cs="Calibri"/>
                <w:sz w:val="20"/>
                <w:szCs w:val="20"/>
                <w:lang w:val="en-GB"/>
              </w:rPr>
              <w:t xml:space="preserve">s your </w:t>
            </w:r>
            <w:r w:rsidR="00C53611" w:rsidRPr="0089630F">
              <w:rPr>
                <w:rFonts w:ascii="Calibri" w:hAnsi="Calibri" w:cs="Calibri"/>
                <w:sz w:val="20"/>
                <w:szCs w:val="20"/>
                <w:lang w:val="en-GB"/>
              </w:rPr>
              <w:t>constituency</w:t>
            </w:r>
            <w:r w:rsidRPr="0089630F">
              <w:rPr>
                <w:rFonts w:ascii="Calibri" w:hAnsi="Calibri" w:cs="Calibri"/>
                <w:sz w:val="20"/>
                <w:szCs w:val="20"/>
                <w:lang w:val="en-GB"/>
              </w:rPr>
              <w:t xml:space="preserve"> taken to integrate disaster risk reduction and management with actions addressing climate change, sustainable development, biodiversity, public health risks and sustainable food systems?</w:t>
            </w:r>
          </w:p>
        </w:tc>
      </w:tr>
      <w:tr w:rsidR="00E0226A" w:rsidRPr="0089630F" w14:paraId="352C5A30" w14:textId="77777777" w:rsidTr="00CA3EED">
        <w:trPr>
          <w:trHeight w:val="251"/>
          <w:jc w:val="center"/>
        </w:trPr>
        <w:tc>
          <w:tcPr>
            <w:tcW w:w="10201" w:type="dxa"/>
            <w:gridSpan w:val="2"/>
            <w:shd w:val="clear" w:color="auto" w:fill="D9D9D9" w:themeFill="background1" w:themeFillShade="D9"/>
            <w:vAlign w:val="center"/>
          </w:tcPr>
          <w:p w14:paraId="706A32D0" w14:textId="606D3274" w:rsidR="00E0226A" w:rsidRPr="0089630F" w:rsidRDefault="00E0226A" w:rsidP="00E0226A">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Investment in Risk Reduction and Resilience</w:t>
            </w:r>
            <w:r w:rsidR="000A737D" w:rsidRPr="0089630F">
              <w:rPr>
                <w:rFonts w:ascii="Calibri" w:hAnsi="Calibri" w:cs="Calibri"/>
                <w:sz w:val="20"/>
                <w:szCs w:val="20"/>
                <w:lang w:val="en-GB"/>
              </w:rPr>
              <w:t xml:space="preserve"> </w:t>
            </w:r>
            <w:r w:rsidR="00265CD7" w:rsidRPr="0089630F">
              <w:rPr>
                <w:rFonts w:ascii="Calibri" w:hAnsi="Calibri" w:cs="Calibri"/>
                <w:sz w:val="20"/>
                <w:szCs w:val="20"/>
                <w:lang w:val="en-GB"/>
              </w:rPr>
              <w:t>[</w:t>
            </w:r>
            <w:r w:rsidR="000A737D" w:rsidRPr="0089630F">
              <w:rPr>
                <w:rFonts w:ascii="Calibri" w:hAnsi="Calibri" w:cs="Calibri"/>
                <w:sz w:val="20"/>
                <w:szCs w:val="20"/>
                <w:lang w:val="en-GB"/>
              </w:rPr>
              <w:t>Section III.</w:t>
            </w:r>
            <w:r w:rsidR="00181FC9" w:rsidRPr="0089630F">
              <w:rPr>
                <w:rFonts w:ascii="Calibri" w:hAnsi="Calibri" w:cs="Calibri"/>
                <w:sz w:val="20"/>
                <w:szCs w:val="20"/>
                <w:lang w:val="en-GB"/>
              </w:rPr>
              <w:t>D</w:t>
            </w:r>
            <w:r w:rsidR="000A737D" w:rsidRPr="0089630F">
              <w:rPr>
                <w:rFonts w:ascii="Calibri" w:hAnsi="Calibri" w:cs="Calibri"/>
                <w:sz w:val="20"/>
                <w:szCs w:val="20"/>
                <w:lang w:val="en-GB"/>
              </w:rPr>
              <w:t>.</w:t>
            </w:r>
            <w:r w:rsidR="00265CD7" w:rsidRPr="0089630F">
              <w:rPr>
                <w:rFonts w:ascii="Calibri" w:hAnsi="Calibri" w:cs="Calibri"/>
                <w:sz w:val="20"/>
                <w:szCs w:val="20"/>
                <w:lang w:val="en-GB"/>
              </w:rPr>
              <w:t>]</w:t>
            </w:r>
          </w:p>
        </w:tc>
      </w:tr>
      <w:tr w:rsidR="00E0226A" w:rsidRPr="0089630F" w14:paraId="46D84F36" w14:textId="77777777" w:rsidTr="00CA3EED">
        <w:trPr>
          <w:jc w:val="center"/>
        </w:trPr>
        <w:tc>
          <w:tcPr>
            <w:tcW w:w="562" w:type="dxa"/>
            <w:vAlign w:val="center"/>
          </w:tcPr>
          <w:p w14:paraId="0324DC4D" w14:textId="56748D67" w:rsidR="00E0226A" w:rsidRPr="0089630F" w:rsidRDefault="000A737D" w:rsidP="00E0226A">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9</w:t>
            </w:r>
          </w:p>
        </w:tc>
        <w:tc>
          <w:tcPr>
            <w:tcW w:w="9639" w:type="dxa"/>
            <w:vAlign w:val="center"/>
          </w:tcPr>
          <w:p w14:paraId="7F73B15E" w14:textId="4261E013" w:rsidR="0090732F" w:rsidRPr="0089630F" w:rsidRDefault="00E0226A" w:rsidP="00E0226A">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 xml:space="preserve">To what extent have investments </w:t>
            </w:r>
            <w:r w:rsidR="00760A8C" w:rsidRPr="0089630F">
              <w:rPr>
                <w:rFonts w:ascii="Calibri" w:hAnsi="Calibri" w:cs="Calibri"/>
                <w:sz w:val="20"/>
                <w:szCs w:val="20"/>
                <w:lang w:val="en-GB"/>
              </w:rPr>
              <w:t xml:space="preserve">by your constituency </w:t>
            </w:r>
            <w:r w:rsidRPr="0089630F">
              <w:rPr>
                <w:rFonts w:ascii="Calibri" w:hAnsi="Calibri" w:cs="Calibri"/>
                <w:sz w:val="20"/>
                <w:szCs w:val="20"/>
                <w:lang w:val="en-GB"/>
              </w:rPr>
              <w:t>in resilience</w:t>
            </w:r>
            <w:r w:rsidR="0090732F" w:rsidRPr="0089630F">
              <w:rPr>
                <w:rFonts w:ascii="Calibri" w:hAnsi="Calibri" w:cs="Calibri"/>
                <w:sz w:val="20"/>
                <w:szCs w:val="20"/>
                <w:lang w:val="en-GB"/>
              </w:rPr>
              <w:t xml:space="preserve"> (through structural and non-structural measures)</w:t>
            </w:r>
            <w:r w:rsidRPr="0089630F">
              <w:rPr>
                <w:rFonts w:ascii="Calibri" w:hAnsi="Calibri" w:cs="Calibri"/>
                <w:sz w:val="20"/>
                <w:szCs w:val="20"/>
                <w:lang w:val="en-GB"/>
              </w:rPr>
              <w:t xml:space="preserve"> increased since 2015? </w:t>
            </w:r>
          </w:p>
          <w:p w14:paraId="6C7AD6E7" w14:textId="77777777" w:rsidR="00741B08" w:rsidRPr="0089630F" w:rsidRDefault="00741B08" w:rsidP="00741B08">
            <w:pPr>
              <w:spacing w:beforeLines="40" w:before="96" w:afterLines="40" w:after="96"/>
              <w:jc w:val="both"/>
              <w:rPr>
                <w:rFonts w:ascii="Calibri" w:hAnsi="Calibri" w:cs="Calibri"/>
                <w:sz w:val="20"/>
                <w:szCs w:val="20"/>
                <w:lang w:val="en-GB"/>
              </w:rPr>
            </w:pPr>
            <w:r w:rsidRPr="0089630F">
              <w:rPr>
                <w:rFonts w:ascii="Calibri" w:hAnsi="Calibri" w:cs="Calibri"/>
                <w:i/>
                <w:iCs/>
                <w:sz w:val="20"/>
                <w:szCs w:val="20"/>
                <w:u w:val="single"/>
                <w:lang w:val="en-GB"/>
              </w:rPr>
              <w:t>Probing Question</w:t>
            </w:r>
            <w:r w:rsidRPr="0089630F">
              <w:rPr>
                <w:rFonts w:ascii="Calibri" w:hAnsi="Calibri" w:cs="Calibri"/>
                <w:sz w:val="20"/>
                <w:szCs w:val="20"/>
                <w:lang w:val="en-GB"/>
              </w:rPr>
              <w:t>:</w:t>
            </w:r>
          </w:p>
          <w:p w14:paraId="699E9CB1" w14:textId="372F5B56" w:rsidR="00E0226A" w:rsidRPr="0089630F" w:rsidRDefault="00EC106D" w:rsidP="000C1DDE">
            <w:pPr>
              <w:pStyle w:val="ListParagraph"/>
              <w:numPr>
                <w:ilvl w:val="0"/>
                <w:numId w:val="16"/>
              </w:num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 xml:space="preserve">To what purposes </w:t>
            </w:r>
            <w:r w:rsidR="00E0226A" w:rsidRPr="0089630F">
              <w:rPr>
                <w:rFonts w:ascii="Calibri" w:hAnsi="Calibri" w:cs="Calibri"/>
                <w:sz w:val="20"/>
                <w:szCs w:val="20"/>
                <w:lang w:val="en-GB"/>
              </w:rPr>
              <w:t xml:space="preserve">have </w:t>
            </w:r>
            <w:r w:rsidR="00760A8C" w:rsidRPr="0089630F">
              <w:rPr>
                <w:rFonts w:ascii="Calibri" w:hAnsi="Calibri" w:cs="Calibri"/>
                <w:sz w:val="20"/>
                <w:szCs w:val="20"/>
                <w:lang w:val="en-GB"/>
              </w:rPr>
              <w:t>such</w:t>
            </w:r>
            <w:r w:rsidR="00AC0E61" w:rsidRPr="0089630F">
              <w:rPr>
                <w:rFonts w:ascii="Calibri" w:hAnsi="Calibri" w:cs="Calibri"/>
                <w:sz w:val="20"/>
                <w:szCs w:val="20"/>
                <w:lang w:val="en-GB"/>
              </w:rPr>
              <w:t xml:space="preserve"> </w:t>
            </w:r>
            <w:r w:rsidR="00E0226A" w:rsidRPr="0089630F">
              <w:rPr>
                <w:rFonts w:ascii="Calibri" w:hAnsi="Calibri" w:cs="Calibri"/>
                <w:sz w:val="20"/>
                <w:szCs w:val="20"/>
                <w:lang w:val="en-GB"/>
              </w:rPr>
              <w:t>investments been directed?</w:t>
            </w:r>
          </w:p>
          <w:p w14:paraId="5548C6EE" w14:textId="511F32DA" w:rsidR="00AC0E61" w:rsidRPr="0089630F" w:rsidRDefault="00AC0E61" w:rsidP="000C1DDE">
            <w:pPr>
              <w:pStyle w:val="ListParagraph"/>
              <w:numPr>
                <w:ilvl w:val="1"/>
                <w:numId w:val="16"/>
              </w:num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 xml:space="preserve">to structural measures </w:t>
            </w:r>
            <w:r w:rsidR="001A5BA5" w:rsidRPr="0089630F">
              <w:rPr>
                <w:rFonts w:ascii="Calibri" w:hAnsi="Calibri" w:cs="Calibri"/>
                <w:sz w:val="20"/>
                <w:szCs w:val="20"/>
                <w:lang w:val="en-GB"/>
              </w:rPr>
              <w:t xml:space="preserve">[as described </w:t>
            </w:r>
            <w:r w:rsidR="001A5BA5" w:rsidRPr="0089630F">
              <w:rPr>
                <w:rFonts w:ascii="Calibri" w:hAnsi="Calibri" w:cs="Calibri"/>
                <w:i/>
                <w:iCs/>
                <w:sz w:val="20"/>
                <w:szCs w:val="20"/>
                <w:lang w:val="en-GB"/>
              </w:rPr>
              <w:t>inter alia</w:t>
            </w:r>
            <w:r w:rsidR="001A5BA5" w:rsidRPr="0089630F">
              <w:rPr>
                <w:rFonts w:ascii="Calibri" w:hAnsi="Calibri" w:cs="Calibri"/>
                <w:sz w:val="20"/>
                <w:szCs w:val="20"/>
                <w:lang w:val="en-GB"/>
              </w:rPr>
              <w:t xml:space="preserve"> in Paragraph 30 of the Sendai Framework]</w:t>
            </w:r>
          </w:p>
          <w:p w14:paraId="5DBD1AB7" w14:textId="581B9AF8" w:rsidR="001A5BA5" w:rsidRPr="0089630F" w:rsidRDefault="001A5BA5" w:rsidP="000C1DDE">
            <w:pPr>
              <w:pStyle w:val="ListParagraph"/>
              <w:numPr>
                <w:ilvl w:val="1"/>
                <w:numId w:val="16"/>
              </w:numPr>
              <w:spacing w:beforeLines="40" w:before="96" w:afterLines="40" w:after="96" w:line="259" w:lineRule="auto"/>
              <w:jc w:val="both"/>
              <w:rPr>
                <w:rFonts w:ascii="Calibri" w:hAnsi="Calibri" w:cs="Calibri"/>
                <w:sz w:val="20"/>
                <w:szCs w:val="20"/>
                <w:lang w:val="en-GB"/>
              </w:rPr>
            </w:pPr>
            <w:r w:rsidRPr="0089630F">
              <w:rPr>
                <w:rFonts w:ascii="Calibri" w:hAnsi="Calibri" w:cs="Calibri"/>
                <w:sz w:val="20"/>
                <w:szCs w:val="20"/>
                <w:lang w:val="en-GB"/>
              </w:rPr>
              <w:t xml:space="preserve">to non-structural measures [as described </w:t>
            </w:r>
            <w:r w:rsidRPr="0089630F">
              <w:rPr>
                <w:rFonts w:ascii="Calibri" w:hAnsi="Calibri" w:cs="Calibri"/>
                <w:i/>
                <w:iCs/>
                <w:sz w:val="20"/>
                <w:szCs w:val="20"/>
                <w:lang w:val="en-GB"/>
              </w:rPr>
              <w:t>inter alia</w:t>
            </w:r>
            <w:r w:rsidRPr="0089630F">
              <w:rPr>
                <w:rFonts w:ascii="Calibri" w:hAnsi="Calibri" w:cs="Calibri"/>
                <w:sz w:val="20"/>
                <w:szCs w:val="20"/>
                <w:lang w:val="en-GB"/>
              </w:rPr>
              <w:t xml:space="preserve"> in Paragraph 30 of the Sendai Framework</w:t>
            </w:r>
            <w:r w:rsidR="00F43D26" w:rsidRPr="0089630F">
              <w:rPr>
                <w:rFonts w:ascii="Calibri" w:hAnsi="Calibri" w:cs="Calibri"/>
                <w:sz w:val="20"/>
                <w:szCs w:val="20"/>
                <w:lang w:val="en-GB"/>
              </w:rPr>
              <w:t>]</w:t>
            </w:r>
          </w:p>
          <w:p w14:paraId="382421E2" w14:textId="1EABE8B9" w:rsidR="001A5BA5" w:rsidRPr="0089630F" w:rsidRDefault="00371FBF" w:rsidP="000C1DDE">
            <w:pPr>
              <w:pStyle w:val="ListParagraph"/>
              <w:numPr>
                <w:ilvl w:val="0"/>
                <w:numId w:val="16"/>
              </w:num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 xml:space="preserve">To what extent have </w:t>
            </w:r>
            <w:r w:rsidR="00760A8C" w:rsidRPr="0089630F">
              <w:rPr>
                <w:rFonts w:ascii="Calibri" w:hAnsi="Calibri" w:cs="Calibri"/>
                <w:sz w:val="20"/>
                <w:szCs w:val="20"/>
                <w:lang w:val="en-GB"/>
              </w:rPr>
              <w:t>such</w:t>
            </w:r>
            <w:r w:rsidR="001A5BA5" w:rsidRPr="0089630F">
              <w:rPr>
                <w:rFonts w:ascii="Calibri" w:hAnsi="Calibri" w:cs="Calibri"/>
                <w:sz w:val="20"/>
                <w:szCs w:val="20"/>
                <w:lang w:val="en-GB"/>
              </w:rPr>
              <w:t xml:space="preserve"> investments </w:t>
            </w:r>
            <w:r w:rsidRPr="0089630F">
              <w:rPr>
                <w:rFonts w:ascii="Calibri" w:hAnsi="Calibri" w:cs="Calibri"/>
                <w:sz w:val="20"/>
                <w:szCs w:val="20"/>
                <w:lang w:val="en-GB"/>
              </w:rPr>
              <w:t>been quantified</w:t>
            </w:r>
            <w:r w:rsidR="002E33FE" w:rsidRPr="0089630F">
              <w:rPr>
                <w:rFonts w:ascii="Calibri" w:hAnsi="Calibri" w:cs="Calibri"/>
                <w:sz w:val="20"/>
                <w:szCs w:val="20"/>
                <w:lang w:val="en-GB"/>
              </w:rPr>
              <w:t>? If yes, provide values.</w:t>
            </w:r>
          </w:p>
        </w:tc>
      </w:tr>
      <w:bookmarkEnd w:id="1"/>
      <w:tr w:rsidR="00E0226A" w:rsidRPr="0089630F" w14:paraId="197CDB08" w14:textId="77777777" w:rsidTr="00CA3EED">
        <w:trPr>
          <w:jc w:val="center"/>
        </w:trPr>
        <w:tc>
          <w:tcPr>
            <w:tcW w:w="562" w:type="dxa"/>
            <w:vAlign w:val="center"/>
          </w:tcPr>
          <w:p w14:paraId="7363B6A9" w14:textId="4A94EFB4" w:rsidR="00E0226A" w:rsidRPr="0089630F" w:rsidRDefault="000A737D" w:rsidP="00E0226A">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lastRenderedPageBreak/>
              <w:t>10</w:t>
            </w:r>
          </w:p>
        </w:tc>
        <w:tc>
          <w:tcPr>
            <w:tcW w:w="9639" w:type="dxa"/>
            <w:vAlign w:val="center"/>
          </w:tcPr>
          <w:p w14:paraId="6A5D168F" w14:textId="145360A9" w:rsidR="00A54868" w:rsidRPr="0089630F" w:rsidRDefault="00A54868" w:rsidP="00E0226A">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To what extent a</w:t>
            </w:r>
            <w:r w:rsidR="00E0226A" w:rsidRPr="0089630F">
              <w:rPr>
                <w:rFonts w:ascii="Calibri" w:hAnsi="Calibri" w:cs="Calibri"/>
                <w:sz w:val="20"/>
                <w:szCs w:val="20"/>
                <w:lang w:val="en-GB"/>
              </w:rPr>
              <w:t>re investments by the public (including national and local governments) and private sectors increasingly risk-informed</w:t>
            </w:r>
            <w:r w:rsidRPr="0089630F">
              <w:rPr>
                <w:rFonts w:ascii="Calibri" w:hAnsi="Calibri" w:cs="Calibri"/>
                <w:sz w:val="20"/>
                <w:szCs w:val="20"/>
                <w:lang w:val="en-GB"/>
              </w:rPr>
              <w:t>?</w:t>
            </w:r>
            <w:r w:rsidR="00C10EBC" w:rsidRPr="0089630F">
              <w:rPr>
                <w:rFonts w:ascii="Calibri" w:hAnsi="Calibri" w:cs="Calibri"/>
                <w:sz w:val="20"/>
                <w:szCs w:val="20"/>
                <w:lang w:val="en-GB"/>
              </w:rPr>
              <w:t xml:space="preserve"> Describe these measures</w:t>
            </w:r>
            <w:r w:rsidR="00097ECA" w:rsidRPr="0089630F">
              <w:rPr>
                <w:rFonts w:ascii="Calibri" w:hAnsi="Calibri" w:cs="Calibri"/>
                <w:sz w:val="20"/>
                <w:szCs w:val="20"/>
                <w:lang w:val="en-GB"/>
              </w:rPr>
              <w:t>, tools and mechanisms</w:t>
            </w:r>
          </w:p>
          <w:p w14:paraId="04499C0F" w14:textId="77777777" w:rsidR="00C10EBC" w:rsidRPr="0089630F" w:rsidRDefault="00C10EBC" w:rsidP="00C10EBC">
            <w:pPr>
              <w:spacing w:beforeLines="40" w:before="96" w:afterLines="40" w:after="96"/>
              <w:jc w:val="both"/>
              <w:rPr>
                <w:rFonts w:ascii="Calibri" w:hAnsi="Calibri" w:cs="Calibri"/>
                <w:sz w:val="20"/>
                <w:szCs w:val="20"/>
                <w:lang w:val="en-GB"/>
              </w:rPr>
            </w:pPr>
            <w:r w:rsidRPr="0089630F">
              <w:rPr>
                <w:rFonts w:ascii="Calibri" w:hAnsi="Calibri" w:cs="Calibri"/>
                <w:i/>
                <w:iCs/>
                <w:sz w:val="20"/>
                <w:szCs w:val="20"/>
                <w:u w:val="single"/>
                <w:lang w:val="en-GB"/>
              </w:rPr>
              <w:t>Probing Questions</w:t>
            </w:r>
            <w:r w:rsidRPr="0089630F">
              <w:rPr>
                <w:rFonts w:ascii="Calibri" w:hAnsi="Calibri" w:cs="Calibri"/>
                <w:sz w:val="20"/>
                <w:szCs w:val="20"/>
                <w:lang w:val="en-GB"/>
              </w:rPr>
              <w:t>:</w:t>
            </w:r>
          </w:p>
          <w:p w14:paraId="16F4A153" w14:textId="2DD4E79F" w:rsidR="00C10EBC" w:rsidRPr="0089630F" w:rsidRDefault="00A44F47" w:rsidP="000C1DDE">
            <w:pPr>
              <w:pStyle w:val="ListParagraph"/>
              <w:numPr>
                <w:ilvl w:val="0"/>
                <w:numId w:val="17"/>
              </w:num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 xml:space="preserve">What </w:t>
            </w:r>
            <w:r w:rsidR="0087766C" w:rsidRPr="0089630F">
              <w:rPr>
                <w:rFonts w:ascii="Calibri" w:hAnsi="Calibri" w:cs="Calibri"/>
                <w:sz w:val="20"/>
                <w:szCs w:val="20"/>
                <w:lang w:val="en-GB"/>
              </w:rPr>
              <w:t xml:space="preserve">developments </w:t>
            </w:r>
            <w:r w:rsidR="00EC106D" w:rsidRPr="0089630F">
              <w:rPr>
                <w:rFonts w:ascii="Calibri" w:hAnsi="Calibri" w:cs="Calibri"/>
                <w:sz w:val="20"/>
                <w:szCs w:val="20"/>
                <w:lang w:val="en-GB"/>
              </w:rPr>
              <w:t>have been installed</w:t>
            </w:r>
            <w:r w:rsidR="008F75A1" w:rsidRPr="0089630F">
              <w:rPr>
                <w:rFonts w:ascii="Calibri" w:hAnsi="Calibri" w:cs="Calibri"/>
                <w:sz w:val="20"/>
                <w:szCs w:val="20"/>
                <w:lang w:val="en-GB"/>
              </w:rPr>
              <w:t xml:space="preserve"> in</w:t>
            </w:r>
            <w:r w:rsidRPr="0089630F">
              <w:rPr>
                <w:rFonts w:ascii="Calibri" w:hAnsi="Calibri" w:cs="Calibri"/>
                <w:sz w:val="20"/>
                <w:szCs w:val="20"/>
                <w:lang w:val="en-GB"/>
              </w:rPr>
              <w:t xml:space="preserve"> </w:t>
            </w:r>
            <w:r w:rsidR="00097ECA" w:rsidRPr="0089630F">
              <w:rPr>
                <w:rFonts w:ascii="Calibri" w:hAnsi="Calibri" w:cs="Calibri"/>
                <w:sz w:val="20"/>
                <w:szCs w:val="20"/>
                <w:lang w:val="en-GB"/>
              </w:rPr>
              <w:t>fiscal instruments</w:t>
            </w:r>
            <w:r w:rsidR="008F75A1" w:rsidRPr="0089630F">
              <w:rPr>
                <w:rFonts w:ascii="Calibri" w:hAnsi="Calibri" w:cs="Calibri"/>
                <w:sz w:val="20"/>
                <w:szCs w:val="20"/>
                <w:lang w:val="en-GB"/>
              </w:rPr>
              <w:t xml:space="preserve"> to integrate disaster risk reduction considerations and measures</w:t>
            </w:r>
            <w:r w:rsidR="00097ECA" w:rsidRPr="0089630F">
              <w:rPr>
                <w:rFonts w:ascii="Calibri" w:hAnsi="Calibri" w:cs="Calibri"/>
                <w:sz w:val="20"/>
                <w:szCs w:val="20"/>
                <w:lang w:val="en-GB"/>
              </w:rPr>
              <w:t>?</w:t>
            </w:r>
          </w:p>
          <w:p w14:paraId="0F669CE2" w14:textId="77777777" w:rsidR="00E0226A" w:rsidRPr="0089630F" w:rsidRDefault="008F75A1" w:rsidP="000C1DDE">
            <w:pPr>
              <w:pStyle w:val="ListParagraph"/>
              <w:numPr>
                <w:ilvl w:val="0"/>
                <w:numId w:val="17"/>
              </w:num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 xml:space="preserve">What developments </w:t>
            </w:r>
            <w:r w:rsidR="00CB407A" w:rsidRPr="0089630F">
              <w:rPr>
                <w:rFonts w:ascii="Calibri" w:hAnsi="Calibri" w:cs="Calibri"/>
                <w:sz w:val="20"/>
                <w:szCs w:val="20"/>
                <w:lang w:val="en-GB"/>
              </w:rPr>
              <w:t>have been installed in financial regulatory mechanisms to integrate disaster risk reduction considerations and measures?</w:t>
            </w:r>
          </w:p>
          <w:p w14:paraId="3A94CC83" w14:textId="77777777" w:rsidR="008752EA" w:rsidRPr="0089630F" w:rsidRDefault="00C366BE" w:rsidP="000C1DDE">
            <w:pPr>
              <w:pStyle w:val="ListParagraph"/>
              <w:numPr>
                <w:ilvl w:val="0"/>
                <w:numId w:val="17"/>
              </w:num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 xml:space="preserve">What </w:t>
            </w:r>
            <w:r w:rsidR="002F4B7B" w:rsidRPr="0089630F">
              <w:rPr>
                <w:rFonts w:ascii="Calibri" w:hAnsi="Calibri" w:cs="Calibri"/>
                <w:sz w:val="20"/>
                <w:szCs w:val="20"/>
                <w:lang w:val="en-GB"/>
              </w:rPr>
              <w:t xml:space="preserve">financial or regulatory </w:t>
            </w:r>
            <w:r w:rsidRPr="0089630F">
              <w:rPr>
                <w:rFonts w:ascii="Calibri" w:hAnsi="Calibri" w:cs="Calibri"/>
                <w:sz w:val="20"/>
                <w:szCs w:val="20"/>
                <w:lang w:val="en-GB"/>
              </w:rPr>
              <w:t xml:space="preserve">incentives have been </w:t>
            </w:r>
            <w:r w:rsidR="002F4B7B" w:rsidRPr="0089630F">
              <w:rPr>
                <w:rFonts w:ascii="Calibri" w:hAnsi="Calibri" w:cs="Calibri"/>
                <w:sz w:val="20"/>
                <w:szCs w:val="20"/>
                <w:lang w:val="en-GB"/>
              </w:rPr>
              <w:t xml:space="preserve">developed since 2015 to </w:t>
            </w:r>
            <w:r w:rsidR="00D020A4" w:rsidRPr="0089630F">
              <w:rPr>
                <w:rFonts w:ascii="Calibri" w:hAnsi="Calibri" w:cs="Calibri"/>
                <w:sz w:val="20"/>
                <w:szCs w:val="20"/>
                <w:lang w:val="en-GB"/>
              </w:rPr>
              <w:t>build the resilience of business and industry sectors to disaster risk from natural and man-made hazards</w:t>
            </w:r>
            <w:r w:rsidR="00517D05" w:rsidRPr="0089630F">
              <w:rPr>
                <w:rFonts w:ascii="Calibri" w:hAnsi="Calibri" w:cs="Calibri"/>
                <w:sz w:val="20"/>
                <w:szCs w:val="20"/>
                <w:lang w:val="en-GB"/>
              </w:rPr>
              <w:t>, and encourage private investment in disaster risk reduction</w:t>
            </w:r>
            <w:r w:rsidR="00D020A4" w:rsidRPr="0089630F">
              <w:rPr>
                <w:rFonts w:ascii="Calibri" w:hAnsi="Calibri" w:cs="Calibri"/>
                <w:sz w:val="20"/>
                <w:szCs w:val="20"/>
                <w:lang w:val="en-GB"/>
              </w:rPr>
              <w:t>?</w:t>
            </w:r>
          </w:p>
          <w:p w14:paraId="53636EC0" w14:textId="071B3D11" w:rsidR="003B66AC" w:rsidRPr="0089630F" w:rsidRDefault="003B66AC" w:rsidP="000C1DDE">
            <w:pPr>
              <w:pStyle w:val="ListParagraph"/>
              <w:numPr>
                <w:ilvl w:val="1"/>
                <w:numId w:val="17"/>
              </w:num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describe the impact of these measures where this has been assessed.</w:t>
            </w:r>
          </w:p>
        </w:tc>
      </w:tr>
      <w:tr w:rsidR="00E0226A" w:rsidRPr="0089630F" w14:paraId="1955B3E9" w14:textId="77777777" w:rsidTr="00CA3EED">
        <w:trPr>
          <w:jc w:val="center"/>
        </w:trPr>
        <w:tc>
          <w:tcPr>
            <w:tcW w:w="562" w:type="dxa"/>
            <w:vAlign w:val="center"/>
          </w:tcPr>
          <w:p w14:paraId="0567CB09" w14:textId="38DFB8F9" w:rsidR="00E0226A" w:rsidRPr="0089630F" w:rsidRDefault="000A737D" w:rsidP="00E0226A">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11</w:t>
            </w:r>
          </w:p>
        </w:tc>
        <w:tc>
          <w:tcPr>
            <w:tcW w:w="9639" w:type="dxa"/>
            <w:vAlign w:val="center"/>
          </w:tcPr>
          <w:p w14:paraId="63E85F1D" w14:textId="41FF51F8" w:rsidR="00E0226A" w:rsidRPr="0089630F" w:rsidRDefault="00C70AB4" w:rsidP="00E0226A">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If applicable, h</w:t>
            </w:r>
            <w:r w:rsidR="00E0226A" w:rsidRPr="0089630F">
              <w:rPr>
                <w:rFonts w:ascii="Calibri" w:hAnsi="Calibri" w:cs="Calibri"/>
                <w:sz w:val="20"/>
                <w:szCs w:val="20"/>
                <w:lang w:val="en-GB"/>
              </w:rPr>
              <w:t xml:space="preserve">ave financial resources provided to </w:t>
            </w:r>
            <w:r w:rsidRPr="0089630F">
              <w:rPr>
                <w:rFonts w:ascii="Calibri" w:hAnsi="Calibri" w:cs="Calibri"/>
                <w:sz w:val="20"/>
                <w:szCs w:val="20"/>
                <w:lang w:val="en-GB"/>
              </w:rPr>
              <w:t>your</w:t>
            </w:r>
            <w:r w:rsidR="00E0226A" w:rsidRPr="0089630F">
              <w:rPr>
                <w:rFonts w:ascii="Calibri" w:hAnsi="Calibri" w:cs="Calibri"/>
                <w:sz w:val="20"/>
                <w:szCs w:val="20"/>
                <w:lang w:val="en-GB"/>
              </w:rPr>
              <w:t xml:space="preserve"> </w:t>
            </w:r>
            <w:r w:rsidR="007D1F23" w:rsidRPr="0089630F">
              <w:rPr>
                <w:rFonts w:ascii="Calibri" w:hAnsi="Calibri" w:cs="Calibri"/>
                <w:sz w:val="20"/>
                <w:szCs w:val="20"/>
                <w:lang w:val="en-GB"/>
              </w:rPr>
              <w:t>constituency</w:t>
            </w:r>
            <w:r w:rsidR="00E0226A" w:rsidRPr="0089630F">
              <w:rPr>
                <w:rFonts w:ascii="Calibri" w:hAnsi="Calibri" w:cs="Calibri"/>
                <w:sz w:val="20"/>
                <w:szCs w:val="20"/>
                <w:lang w:val="en-GB"/>
              </w:rPr>
              <w:t xml:space="preserve"> for disaster risk reduction through international cooperation increased since 2015? </w:t>
            </w:r>
          </w:p>
          <w:p w14:paraId="64AD88E2" w14:textId="77777777" w:rsidR="00E612EA" w:rsidRPr="0089630F" w:rsidRDefault="00E612EA" w:rsidP="00E612EA">
            <w:pPr>
              <w:spacing w:beforeLines="40" w:before="96" w:afterLines="40" w:after="96"/>
              <w:jc w:val="both"/>
              <w:rPr>
                <w:rFonts w:ascii="Calibri" w:hAnsi="Calibri" w:cs="Calibri"/>
                <w:sz w:val="20"/>
                <w:szCs w:val="20"/>
                <w:lang w:val="en-GB"/>
              </w:rPr>
            </w:pPr>
            <w:r w:rsidRPr="0089630F">
              <w:rPr>
                <w:rFonts w:ascii="Calibri" w:hAnsi="Calibri" w:cs="Calibri"/>
                <w:i/>
                <w:iCs/>
                <w:sz w:val="20"/>
                <w:szCs w:val="20"/>
                <w:u w:val="single"/>
                <w:lang w:val="en-GB"/>
              </w:rPr>
              <w:t>Probing Question</w:t>
            </w:r>
            <w:r w:rsidRPr="0089630F">
              <w:rPr>
                <w:rFonts w:ascii="Calibri" w:hAnsi="Calibri" w:cs="Calibri"/>
                <w:sz w:val="20"/>
                <w:szCs w:val="20"/>
                <w:lang w:val="en-GB"/>
              </w:rPr>
              <w:t>:</w:t>
            </w:r>
          </w:p>
          <w:p w14:paraId="79E4DE40" w14:textId="4867766D" w:rsidR="00E0226A" w:rsidRPr="0089630F" w:rsidRDefault="00E612EA" w:rsidP="000C1DDE">
            <w:pPr>
              <w:pStyle w:val="ListParagraph"/>
              <w:numPr>
                <w:ilvl w:val="0"/>
                <w:numId w:val="18"/>
              </w:num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How has</w:t>
            </w:r>
            <w:r w:rsidR="00E0226A" w:rsidRPr="0089630F">
              <w:rPr>
                <w:rFonts w:ascii="Calibri" w:hAnsi="Calibri" w:cs="Calibri"/>
                <w:sz w:val="20"/>
                <w:szCs w:val="20"/>
                <w:lang w:val="en-GB"/>
              </w:rPr>
              <w:t xml:space="preserve"> technical cooperation, technology transfer and resources for capacity building increased? </w:t>
            </w:r>
          </w:p>
        </w:tc>
      </w:tr>
      <w:tr w:rsidR="00E0226A" w:rsidRPr="0089630F" w14:paraId="3864BA58" w14:textId="77777777" w:rsidTr="00CA3EED">
        <w:trPr>
          <w:trHeight w:val="251"/>
          <w:jc w:val="center"/>
        </w:trPr>
        <w:tc>
          <w:tcPr>
            <w:tcW w:w="10201" w:type="dxa"/>
            <w:gridSpan w:val="2"/>
            <w:shd w:val="clear" w:color="auto" w:fill="D9D9D9" w:themeFill="background1" w:themeFillShade="D9"/>
            <w:vAlign w:val="center"/>
          </w:tcPr>
          <w:p w14:paraId="5AFD0990" w14:textId="17CEA845" w:rsidR="00E0226A" w:rsidRPr="0089630F" w:rsidRDefault="00E0226A" w:rsidP="00E0226A">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Disaster Preparedness, Response and ‘Build Back Better’</w:t>
            </w:r>
            <w:r w:rsidR="00181FC9" w:rsidRPr="0089630F">
              <w:rPr>
                <w:rFonts w:ascii="Calibri" w:hAnsi="Calibri" w:cs="Calibri"/>
                <w:sz w:val="20"/>
                <w:szCs w:val="20"/>
                <w:lang w:val="en-GB"/>
              </w:rPr>
              <w:t xml:space="preserve"> </w:t>
            </w:r>
            <w:r w:rsidR="00265CD7" w:rsidRPr="0089630F">
              <w:rPr>
                <w:rFonts w:ascii="Calibri" w:hAnsi="Calibri" w:cs="Calibri"/>
                <w:sz w:val="20"/>
                <w:szCs w:val="20"/>
                <w:lang w:val="en-GB"/>
              </w:rPr>
              <w:t>[</w:t>
            </w:r>
            <w:r w:rsidR="00C0659F" w:rsidRPr="0089630F">
              <w:rPr>
                <w:rFonts w:ascii="Calibri" w:hAnsi="Calibri" w:cs="Calibri"/>
                <w:sz w:val="20"/>
                <w:szCs w:val="20"/>
                <w:lang w:val="en-GB"/>
              </w:rPr>
              <w:t>Section III. E.</w:t>
            </w:r>
            <w:r w:rsidR="00265CD7" w:rsidRPr="0089630F">
              <w:rPr>
                <w:rFonts w:ascii="Calibri" w:hAnsi="Calibri" w:cs="Calibri"/>
                <w:sz w:val="20"/>
                <w:szCs w:val="20"/>
                <w:lang w:val="en-GB"/>
              </w:rPr>
              <w:t>]</w:t>
            </w:r>
          </w:p>
        </w:tc>
      </w:tr>
      <w:tr w:rsidR="00E0226A" w:rsidRPr="0089630F" w14:paraId="55DE46D4" w14:textId="77777777" w:rsidTr="00CA3EED">
        <w:trPr>
          <w:jc w:val="center"/>
        </w:trPr>
        <w:tc>
          <w:tcPr>
            <w:tcW w:w="562" w:type="dxa"/>
            <w:vAlign w:val="center"/>
          </w:tcPr>
          <w:p w14:paraId="0B4DA46E" w14:textId="08D09200" w:rsidR="00E0226A" w:rsidRPr="0089630F" w:rsidRDefault="000A737D" w:rsidP="00E0226A">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12</w:t>
            </w:r>
          </w:p>
        </w:tc>
        <w:tc>
          <w:tcPr>
            <w:tcW w:w="9639" w:type="dxa"/>
            <w:vAlign w:val="center"/>
          </w:tcPr>
          <w:p w14:paraId="56BC098B" w14:textId="5D650702" w:rsidR="00E0226A" w:rsidRPr="0089630F" w:rsidRDefault="00E0226A" w:rsidP="00E0226A">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 xml:space="preserve">How has preparedness for response, as well as for recovery, rehabilitation and reconstruction, changed since the adoption of the Sendai Framework? </w:t>
            </w:r>
            <w:r w:rsidR="009D1AC1" w:rsidRPr="0089630F">
              <w:rPr>
                <w:rFonts w:ascii="Calibri" w:hAnsi="Calibri" w:cs="Calibri"/>
                <w:sz w:val="20"/>
                <w:szCs w:val="20"/>
                <w:lang w:val="en-GB"/>
              </w:rPr>
              <w:t>Cite</w:t>
            </w:r>
            <w:r w:rsidRPr="0089630F">
              <w:rPr>
                <w:rFonts w:ascii="Calibri" w:hAnsi="Calibri" w:cs="Calibri"/>
                <w:sz w:val="20"/>
                <w:szCs w:val="20"/>
                <w:lang w:val="en-GB"/>
              </w:rPr>
              <w:t xml:space="preserve"> good practices</w:t>
            </w:r>
          </w:p>
          <w:p w14:paraId="26CCC676" w14:textId="2DF2F144" w:rsidR="009D1AC1" w:rsidRPr="0089630F" w:rsidRDefault="009D1AC1" w:rsidP="009D1AC1">
            <w:pPr>
              <w:spacing w:beforeLines="40" w:before="96" w:afterLines="40" w:after="96"/>
              <w:jc w:val="both"/>
              <w:rPr>
                <w:rFonts w:ascii="Calibri" w:hAnsi="Calibri" w:cs="Calibri"/>
                <w:sz w:val="20"/>
                <w:szCs w:val="20"/>
                <w:lang w:val="en-GB"/>
              </w:rPr>
            </w:pPr>
            <w:r w:rsidRPr="0089630F">
              <w:rPr>
                <w:rFonts w:ascii="Calibri" w:hAnsi="Calibri" w:cs="Calibri"/>
                <w:i/>
                <w:iCs/>
                <w:sz w:val="20"/>
                <w:szCs w:val="20"/>
                <w:u w:val="single"/>
                <w:lang w:val="en-GB"/>
              </w:rPr>
              <w:t>Probing Question</w:t>
            </w:r>
            <w:r w:rsidR="0002555D" w:rsidRPr="0089630F">
              <w:rPr>
                <w:rFonts w:ascii="Calibri" w:hAnsi="Calibri" w:cs="Calibri"/>
                <w:i/>
                <w:iCs/>
                <w:sz w:val="20"/>
                <w:szCs w:val="20"/>
                <w:u w:val="single"/>
                <w:lang w:val="en-GB"/>
              </w:rPr>
              <w:t>s</w:t>
            </w:r>
            <w:r w:rsidRPr="0089630F">
              <w:rPr>
                <w:rFonts w:ascii="Calibri" w:hAnsi="Calibri" w:cs="Calibri"/>
                <w:sz w:val="20"/>
                <w:szCs w:val="20"/>
                <w:lang w:val="en-GB"/>
              </w:rPr>
              <w:t>:</w:t>
            </w:r>
          </w:p>
          <w:p w14:paraId="0AF07D9C" w14:textId="77777777" w:rsidR="00006981" w:rsidRPr="0089630F" w:rsidRDefault="00E0226A" w:rsidP="000C1DDE">
            <w:pPr>
              <w:pStyle w:val="ListParagraph"/>
              <w:numPr>
                <w:ilvl w:val="0"/>
                <w:numId w:val="19"/>
              </w:numPr>
              <w:rPr>
                <w:rFonts w:ascii="Calibri" w:hAnsi="Calibri" w:cs="Calibri"/>
                <w:sz w:val="20"/>
                <w:szCs w:val="20"/>
                <w:lang w:val="en-GB"/>
              </w:rPr>
            </w:pPr>
            <w:r w:rsidRPr="0089630F">
              <w:rPr>
                <w:rFonts w:ascii="Calibri" w:hAnsi="Calibri" w:cs="Calibri"/>
                <w:sz w:val="20"/>
                <w:szCs w:val="20"/>
                <w:lang w:val="en-GB"/>
              </w:rPr>
              <w:t xml:space="preserve">How has this manifested in terms of “Build Back Better”? </w:t>
            </w:r>
          </w:p>
          <w:p w14:paraId="3CA9B700" w14:textId="3F467CD8" w:rsidR="00E0226A" w:rsidRPr="0089630F" w:rsidRDefault="00E0226A" w:rsidP="000C1DDE">
            <w:pPr>
              <w:pStyle w:val="ListParagraph"/>
              <w:numPr>
                <w:ilvl w:val="0"/>
                <w:numId w:val="19"/>
              </w:numPr>
              <w:rPr>
                <w:rFonts w:ascii="Calibri" w:hAnsi="Calibri" w:cs="Calibri"/>
                <w:sz w:val="20"/>
                <w:szCs w:val="20"/>
                <w:lang w:val="en-GB"/>
              </w:rPr>
            </w:pPr>
            <w:r w:rsidRPr="0089630F">
              <w:rPr>
                <w:rFonts w:ascii="Calibri" w:hAnsi="Calibri" w:cs="Calibri"/>
                <w:sz w:val="20"/>
                <w:szCs w:val="20"/>
                <w:lang w:val="en-GB"/>
              </w:rPr>
              <w:t>H</w:t>
            </w:r>
            <w:r w:rsidRPr="0089630F">
              <w:rPr>
                <w:sz w:val="20"/>
                <w:szCs w:val="20"/>
                <w:lang w:val="en-GB"/>
              </w:rPr>
              <w:t>ow have women, persons with disability, youth and other marginalised groups contributed to these efforts</w:t>
            </w:r>
            <w:r w:rsidR="00006981" w:rsidRPr="0089630F">
              <w:rPr>
                <w:sz w:val="20"/>
                <w:szCs w:val="20"/>
                <w:lang w:val="en-GB"/>
              </w:rPr>
              <w:t>?</w:t>
            </w:r>
          </w:p>
        </w:tc>
      </w:tr>
      <w:tr w:rsidR="00283AA5" w:rsidRPr="0089630F" w14:paraId="2B1B13D1" w14:textId="77777777" w:rsidTr="00CA3EED">
        <w:trPr>
          <w:trHeight w:val="251"/>
          <w:jc w:val="center"/>
        </w:trPr>
        <w:tc>
          <w:tcPr>
            <w:tcW w:w="10201" w:type="dxa"/>
            <w:gridSpan w:val="2"/>
            <w:shd w:val="clear" w:color="auto" w:fill="D9D9D9" w:themeFill="background1" w:themeFillShade="D9"/>
            <w:vAlign w:val="center"/>
          </w:tcPr>
          <w:p w14:paraId="78D8AABD" w14:textId="15AB9E1B" w:rsidR="00283AA5" w:rsidRPr="0089630F" w:rsidRDefault="00283AA5" w:rsidP="00231F2E">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Collaboration, Partnership and Cooperation</w:t>
            </w:r>
            <w:r w:rsidR="000D707D" w:rsidRPr="0089630F">
              <w:rPr>
                <w:rFonts w:ascii="Calibri" w:hAnsi="Calibri" w:cs="Calibri"/>
                <w:sz w:val="20"/>
                <w:szCs w:val="20"/>
                <w:lang w:val="en-GB"/>
              </w:rPr>
              <w:t xml:space="preserve"> </w:t>
            </w:r>
            <w:r w:rsidR="00265CD7" w:rsidRPr="0089630F">
              <w:rPr>
                <w:rFonts w:ascii="Calibri" w:hAnsi="Calibri" w:cs="Calibri"/>
                <w:sz w:val="20"/>
                <w:szCs w:val="20"/>
                <w:lang w:val="en-GB"/>
              </w:rPr>
              <w:t>[</w:t>
            </w:r>
            <w:r w:rsidR="000D707D" w:rsidRPr="0089630F">
              <w:rPr>
                <w:rFonts w:ascii="Calibri" w:hAnsi="Calibri" w:cs="Calibri"/>
                <w:sz w:val="20"/>
                <w:szCs w:val="20"/>
                <w:lang w:val="en-GB"/>
              </w:rPr>
              <w:t>Section III.F.</w:t>
            </w:r>
            <w:r w:rsidR="00265CD7" w:rsidRPr="0089630F">
              <w:rPr>
                <w:rFonts w:ascii="Calibri" w:hAnsi="Calibri" w:cs="Calibri"/>
                <w:sz w:val="20"/>
                <w:szCs w:val="20"/>
                <w:lang w:val="en-GB"/>
              </w:rPr>
              <w:t>]</w:t>
            </w:r>
          </w:p>
        </w:tc>
      </w:tr>
      <w:tr w:rsidR="00E0226A" w:rsidRPr="0089630F" w14:paraId="29777A0E" w14:textId="77777777" w:rsidTr="00CA3EED">
        <w:trPr>
          <w:jc w:val="center"/>
        </w:trPr>
        <w:tc>
          <w:tcPr>
            <w:tcW w:w="562" w:type="dxa"/>
            <w:vAlign w:val="center"/>
          </w:tcPr>
          <w:p w14:paraId="11FFAD27" w14:textId="2844F2B3" w:rsidR="00E0226A" w:rsidRPr="0089630F" w:rsidRDefault="000A737D" w:rsidP="00E0226A">
            <w:pPr>
              <w:rPr>
                <w:rFonts w:ascii="Calibri" w:hAnsi="Calibri" w:cs="Calibri"/>
                <w:sz w:val="20"/>
                <w:szCs w:val="20"/>
                <w:lang w:val="en-GB"/>
              </w:rPr>
            </w:pPr>
            <w:r w:rsidRPr="0089630F">
              <w:rPr>
                <w:rFonts w:ascii="Calibri" w:hAnsi="Calibri" w:cs="Calibri"/>
                <w:sz w:val="20"/>
                <w:szCs w:val="20"/>
                <w:lang w:val="en-GB"/>
              </w:rPr>
              <w:t>13</w:t>
            </w:r>
          </w:p>
        </w:tc>
        <w:tc>
          <w:tcPr>
            <w:tcW w:w="9639" w:type="dxa"/>
            <w:vAlign w:val="center"/>
          </w:tcPr>
          <w:p w14:paraId="053CE235" w14:textId="008332CA" w:rsidR="0002555D" w:rsidRPr="0089630F" w:rsidRDefault="00E0226A" w:rsidP="00E0226A">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 xml:space="preserve">What partnerships and initiatives have </w:t>
            </w:r>
            <w:r w:rsidR="00F40CD7" w:rsidRPr="0089630F">
              <w:rPr>
                <w:rFonts w:ascii="Calibri" w:hAnsi="Calibri" w:cs="Calibri"/>
                <w:sz w:val="20"/>
                <w:szCs w:val="20"/>
                <w:lang w:val="en-GB"/>
              </w:rPr>
              <w:t>been most successful in reducing disaster risk</w:t>
            </w:r>
            <w:r w:rsidRPr="0089630F">
              <w:rPr>
                <w:rFonts w:ascii="Calibri" w:hAnsi="Calibri" w:cs="Calibri"/>
                <w:sz w:val="20"/>
                <w:szCs w:val="20"/>
                <w:lang w:val="en-GB"/>
              </w:rPr>
              <w:t xml:space="preserve">? </w:t>
            </w:r>
          </w:p>
          <w:p w14:paraId="44401F1D" w14:textId="2BD36EF3" w:rsidR="00FD0268" w:rsidRPr="0089630F" w:rsidRDefault="00FD0268" w:rsidP="00E0226A">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 xml:space="preserve">Consider </w:t>
            </w:r>
            <w:r w:rsidR="000D707D" w:rsidRPr="0089630F">
              <w:rPr>
                <w:rFonts w:ascii="Calibri" w:hAnsi="Calibri" w:cs="Calibri"/>
                <w:sz w:val="20"/>
                <w:szCs w:val="20"/>
                <w:lang w:val="en-GB"/>
              </w:rPr>
              <w:t xml:space="preserve">relevant </w:t>
            </w:r>
            <w:r w:rsidRPr="0089630F">
              <w:rPr>
                <w:rFonts w:ascii="Calibri" w:hAnsi="Calibri" w:cs="Calibri"/>
                <w:sz w:val="20"/>
                <w:szCs w:val="20"/>
                <w:lang w:val="en-GB"/>
              </w:rPr>
              <w:t xml:space="preserve">partnerships </w:t>
            </w:r>
            <w:r w:rsidR="000D707D" w:rsidRPr="0089630F">
              <w:rPr>
                <w:rFonts w:ascii="Calibri" w:hAnsi="Calibri" w:cs="Calibri"/>
                <w:sz w:val="20"/>
                <w:szCs w:val="20"/>
                <w:lang w:val="en-GB"/>
              </w:rPr>
              <w:t xml:space="preserve">that may be (non-exhaustive) </w:t>
            </w:r>
            <w:r w:rsidRPr="0089630F">
              <w:rPr>
                <w:rFonts w:ascii="Calibri" w:hAnsi="Calibri" w:cs="Calibri"/>
                <w:sz w:val="20"/>
                <w:szCs w:val="20"/>
                <w:lang w:val="en-GB"/>
              </w:rPr>
              <w:t>– local, sub-national, national, sub-regional, regional</w:t>
            </w:r>
            <w:r w:rsidR="000D707D" w:rsidRPr="0089630F">
              <w:rPr>
                <w:rFonts w:ascii="Calibri" w:hAnsi="Calibri" w:cs="Calibri"/>
                <w:sz w:val="20"/>
                <w:szCs w:val="20"/>
                <w:lang w:val="en-GB"/>
              </w:rPr>
              <w:t>, transboundary and/or</w:t>
            </w:r>
            <w:r w:rsidRPr="0089630F">
              <w:rPr>
                <w:rFonts w:ascii="Calibri" w:hAnsi="Calibri" w:cs="Calibri"/>
                <w:sz w:val="20"/>
                <w:szCs w:val="20"/>
                <w:lang w:val="en-GB"/>
              </w:rPr>
              <w:t xml:space="preserve"> multistakeholder, civil society, public-private, south-south</w:t>
            </w:r>
            <w:r w:rsidR="000D707D" w:rsidRPr="0089630F">
              <w:rPr>
                <w:rFonts w:ascii="Calibri" w:hAnsi="Calibri" w:cs="Calibri"/>
                <w:sz w:val="20"/>
                <w:szCs w:val="20"/>
                <w:lang w:val="en-GB"/>
              </w:rPr>
              <w:t xml:space="preserve"> and triangular cooperation, or combinations thereof.</w:t>
            </w:r>
          </w:p>
          <w:p w14:paraId="3ECBEEA2" w14:textId="77777777" w:rsidR="0002555D" w:rsidRPr="0089630F" w:rsidRDefault="0002555D" w:rsidP="0002555D">
            <w:pPr>
              <w:spacing w:beforeLines="40" w:before="96" w:afterLines="40" w:after="96"/>
              <w:jc w:val="both"/>
              <w:rPr>
                <w:rFonts w:ascii="Calibri" w:hAnsi="Calibri" w:cs="Calibri"/>
                <w:sz w:val="20"/>
                <w:szCs w:val="20"/>
                <w:lang w:val="en-GB"/>
              </w:rPr>
            </w:pPr>
            <w:r w:rsidRPr="0089630F">
              <w:rPr>
                <w:rFonts w:ascii="Calibri" w:hAnsi="Calibri" w:cs="Calibri"/>
                <w:i/>
                <w:iCs/>
                <w:sz w:val="20"/>
                <w:szCs w:val="20"/>
                <w:u w:val="single"/>
                <w:lang w:val="en-GB"/>
              </w:rPr>
              <w:t>Probing Questions</w:t>
            </w:r>
            <w:r w:rsidRPr="0089630F">
              <w:rPr>
                <w:rFonts w:ascii="Calibri" w:hAnsi="Calibri" w:cs="Calibri"/>
                <w:sz w:val="20"/>
                <w:szCs w:val="20"/>
                <w:lang w:val="en-GB"/>
              </w:rPr>
              <w:t>:</w:t>
            </w:r>
          </w:p>
          <w:p w14:paraId="08F6E506" w14:textId="77777777" w:rsidR="0002555D" w:rsidRPr="0089630F" w:rsidRDefault="00E0226A" w:rsidP="000C1DDE">
            <w:pPr>
              <w:pStyle w:val="ListParagraph"/>
              <w:numPr>
                <w:ilvl w:val="0"/>
                <w:numId w:val="20"/>
              </w:numPr>
              <w:spacing w:after="160" w:line="259" w:lineRule="auto"/>
              <w:rPr>
                <w:rFonts w:ascii="Calibri" w:hAnsi="Calibri" w:cs="Calibri"/>
                <w:sz w:val="20"/>
                <w:szCs w:val="20"/>
                <w:lang w:val="en-GB"/>
              </w:rPr>
            </w:pPr>
            <w:r w:rsidRPr="0089630F">
              <w:rPr>
                <w:rFonts w:ascii="Calibri" w:hAnsi="Calibri" w:cs="Calibri"/>
                <w:sz w:val="20"/>
                <w:szCs w:val="20"/>
                <w:lang w:val="en-GB"/>
              </w:rPr>
              <w:t xml:space="preserve">How have genuine and durable partnerships been established? </w:t>
            </w:r>
          </w:p>
          <w:p w14:paraId="1D3EFD28" w14:textId="22614D69" w:rsidR="0002555D" w:rsidRPr="0089630F" w:rsidRDefault="00E0226A" w:rsidP="000C1DDE">
            <w:pPr>
              <w:pStyle w:val="ListParagraph"/>
              <w:numPr>
                <w:ilvl w:val="0"/>
                <w:numId w:val="20"/>
              </w:numPr>
              <w:spacing w:after="160" w:line="259" w:lineRule="auto"/>
              <w:rPr>
                <w:rFonts w:ascii="Calibri" w:hAnsi="Calibri" w:cs="Calibri"/>
                <w:sz w:val="20"/>
                <w:szCs w:val="20"/>
                <w:lang w:val="en-GB"/>
              </w:rPr>
            </w:pPr>
            <w:r w:rsidRPr="0089630F">
              <w:rPr>
                <w:rFonts w:ascii="Calibri" w:hAnsi="Calibri" w:cs="Calibri"/>
                <w:sz w:val="20"/>
                <w:szCs w:val="20"/>
                <w:lang w:val="en-GB"/>
              </w:rPr>
              <w:t xml:space="preserve">How were they developed? </w:t>
            </w:r>
          </w:p>
          <w:p w14:paraId="0F593527" w14:textId="77777777" w:rsidR="003F6DC4" w:rsidRPr="0089630F" w:rsidRDefault="00E0226A" w:rsidP="000C1DDE">
            <w:pPr>
              <w:pStyle w:val="ListParagraph"/>
              <w:numPr>
                <w:ilvl w:val="0"/>
                <w:numId w:val="20"/>
              </w:numPr>
              <w:spacing w:after="160" w:line="259" w:lineRule="auto"/>
              <w:rPr>
                <w:rFonts w:ascii="Calibri" w:hAnsi="Calibri" w:cs="Calibri"/>
                <w:sz w:val="20"/>
                <w:szCs w:val="20"/>
                <w:lang w:val="en-GB"/>
              </w:rPr>
            </w:pPr>
            <w:r w:rsidRPr="0089630F">
              <w:rPr>
                <w:rFonts w:ascii="Calibri" w:hAnsi="Calibri" w:cs="Calibri"/>
                <w:sz w:val="20"/>
                <w:szCs w:val="20"/>
                <w:lang w:val="en-GB"/>
              </w:rPr>
              <w:t xml:space="preserve">How are such partnerships governed? </w:t>
            </w:r>
          </w:p>
          <w:p w14:paraId="27C92F6E" w14:textId="77777777" w:rsidR="003F6DC4" w:rsidRPr="0089630F" w:rsidRDefault="00E0226A" w:rsidP="000C1DDE">
            <w:pPr>
              <w:pStyle w:val="ListParagraph"/>
              <w:numPr>
                <w:ilvl w:val="0"/>
                <w:numId w:val="20"/>
              </w:numPr>
              <w:spacing w:after="160" w:line="259" w:lineRule="auto"/>
              <w:rPr>
                <w:rFonts w:ascii="Calibri" w:hAnsi="Calibri" w:cs="Calibri"/>
                <w:sz w:val="20"/>
                <w:szCs w:val="20"/>
                <w:lang w:val="en-GB"/>
              </w:rPr>
            </w:pPr>
            <w:r w:rsidRPr="0089630F">
              <w:rPr>
                <w:rFonts w:ascii="Calibri" w:hAnsi="Calibri" w:cs="Calibri"/>
                <w:sz w:val="20"/>
                <w:szCs w:val="20"/>
                <w:lang w:val="en-GB"/>
              </w:rPr>
              <w:t xml:space="preserve">How are they funded or resourced? </w:t>
            </w:r>
          </w:p>
          <w:p w14:paraId="18A267DE" w14:textId="6C58DAA7" w:rsidR="00E0226A" w:rsidRPr="0089630F" w:rsidRDefault="00E0226A" w:rsidP="000C1DDE">
            <w:pPr>
              <w:pStyle w:val="ListParagraph"/>
              <w:numPr>
                <w:ilvl w:val="0"/>
                <w:numId w:val="20"/>
              </w:numPr>
              <w:spacing w:after="160" w:line="259" w:lineRule="auto"/>
              <w:rPr>
                <w:rFonts w:ascii="Calibri" w:hAnsi="Calibri" w:cs="Calibri"/>
                <w:sz w:val="20"/>
                <w:szCs w:val="20"/>
                <w:lang w:val="en-GB"/>
              </w:rPr>
            </w:pPr>
            <w:r w:rsidRPr="0089630F">
              <w:rPr>
                <w:rFonts w:ascii="Calibri" w:hAnsi="Calibri" w:cs="Calibri"/>
                <w:sz w:val="20"/>
                <w:szCs w:val="20"/>
                <w:lang w:val="en-GB"/>
              </w:rPr>
              <w:t xml:space="preserve">What are the leadership roles and partnership evaluation methods? </w:t>
            </w:r>
          </w:p>
        </w:tc>
      </w:tr>
      <w:tr w:rsidR="00E0226A" w:rsidRPr="0089630F" w14:paraId="4E975B6B" w14:textId="77777777" w:rsidTr="00CA3EED">
        <w:trPr>
          <w:jc w:val="center"/>
        </w:trPr>
        <w:tc>
          <w:tcPr>
            <w:tcW w:w="562" w:type="dxa"/>
            <w:tcBorders>
              <w:bottom w:val="single" w:sz="4" w:space="0" w:color="auto"/>
            </w:tcBorders>
            <w:vAlign w:val="center"/>
          </w:tcPr>
          <w:p w14:paraId="07E3B04A" w14:textId="781F81E2" w:rsidR="00E0226A" w:rsidRPr="0089630F" w:rsidRDefault="000A737D" w:rsidP="00E0226A">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14</w:t>
            </w:r>
          </w:p>
        </w:tc>
        <w:tc>
          <w:tcPr>
            <w:tcW w:w="9639" w:type="dxa"/>
            <w:tcBorders>
              <w:bottom w:val="single" w:sz="4" w:space="0" w:color="auto"/>
            </w:tcBorders>
            <w:vAlign w:val="center"/>
          </w:tcPr>
          <w:p w14:paraId="44EEB4AA" w14:textId="54B14E87" w:rsidR="00E0226A" w:rsidRPr="0089630F" w:rsidRDefault="00E0226A" w:rsidP="00E0226A">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 xml:space="preserve">How has cooperation and collaboration in risk reduction across </w:t>
            </w:r>
            <w:r w:rsidR="002D7108" w:rsidRPr="0089630F">
              <w:rPr>
                <w:rFonts w:ascii="Calibri" w:hAnsi="Calibri" w:cs="Calibri"/>
                <w:sz w:val="20"/>
                <w:szCs w:val="20"/>
                <w:lang w:val="en-GB"/>
              </w:rPr>
              <w:t>national</w:t>
            </w:r>
            <w:r w:rsidR="006E4404" w:rsidRPr="0089630F">
              <w:rPr>
                <w:rFonts w:ascii="Calibri" w:hAnsi="Calibri" w:cs="Calibri"/>
                <w:sz w:val="20"/>
                <w:szCs w:val="20"/>
                <w:lang w:val="en-GB"/>
              </w:rPr>
              <w:t>, regional or international</w:t>
            </w:r>
            <w:r w:rsidR="002D7108" w:rsidRPr="0089630F">
              <w:rPr>
                <w:rFonts w:ascii="Calibri" w:hAnsi="Calibri" w:cs="Calibri"/>
                <w:sz w:val="20"/>
                <w:szCs w:val="20"/>
                <w:lang w:val="en-GB"/>
              </w:rPr>
              <w:t xml:space="preserve"> </w:t>
            </w:r>
            <w:r w:rsidRPr="0089630F">
              <w:rPr>
                <w:rFonts w:ascii="Calibri" w:hAnsi="Calibri" w:cs="Calibri"/>
                <w:sz w:val="20"/>
                <w:szCs w:val="20"/>
                <w:lang w:val="en-GB"/>
              </w:rPr>
              <w:t xml:space="preserve">mechanisms and institutions in the implementation of relevant international </w:t>
            </w:r>
            <w:r w:rsidR="002F3FE2" w:rsidRPr="0089630F">
              <w:rPr>
                <w:rFonts w:ascii="Calibri" w:hAnsi="Calibri" w:cs="Calibri"/>
                <w:sz w:val="20"/>
                <w:szCs w:val="20"/>
                <w:lang w:val="en-GB"/>
              </w:rPr>
              <w:t xml:space="preserve">agendas, frameworks and conventions </w:t>
            </w:r>
            <w:r w:rsidRPr="0089630F">
              <w:rPr>
                <w:rFonts w:ascii="Calibri" w:hAnsi="Calibri" w:cs="Calibri"/>
                <w:sz w:val="20"/>
                <w:szCs w:val="20"/>
                <w:lang w:val="en-GB"/>
              </w:rPr>
              <w:t>evolved since the adoption of the Sendai Framework?</w:t>
            </w:r>
            <w:r w:rsidR="00431035" w:rsidRPr="0089630F">
              <w:rPr>
                <w:rFonts w:ascii="Calibri" w:hAnsi="Calibri" w:cs="Calibri"/>
                <w:sz w:val="20"/>
                <w:szCs w:val="20"/>
                <w:lang w:val="en-GB"/>
              </w:rPr>
              <w:t xml:space="preserve"> Cite examples</w:t>
            </w:r>
          </w:p>
        </w:tc>
      </w:tr>
      <w:tr w:rsidR="00E0226A" w:rsidRPr="0089630F" w14:paraId="0F3E986B" w14:textId="77777777" w:rsidTr="00CA3EED">
        <w:trPr>
          <w:trHeight w:val="268"/>
          <w:jc w:val="center"/>
        </w:trPr>
        <w:tc>
          <w:tcPr>
            <w:tcW w:w="10201" w:type="dxa"/>
            <w:gridSpan w:val="2"/>
            <w:tcBorders>
              <w:bottom w:val="single" w:sz="4" w:space="0" w:color="auto"/>
            </w:tcBorders>
            <w:shd w:val="clear" w:color="auto" w:fill="D9D9D9" w:themeFill="background1" w:themeFillShade="D9"/>
            <w:vAlign w:val="center"/>
          </w:tcPr>
          <w:p w14:paraId="10D9D149" w14:textId="3652C793" w:rsidR="00E0226A" w:rsidRPr="0089630F" w:rsidDel="00B34435" w:rsidRDefault="00E0226A" w:rsidP="00E0226A">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Progress in achieving the Targets of the Sendai Framework</w:t>
            </w:r>
            <w:r w:rsidR="000D707D" w:rsidRPr="0089630F">
              <w:rPr>
                <w:rFonts w:ascii="Calibri" w:hAnsi="Calibri" w:cs="Calibri"/>
                <w:sz w:val="20"/>
                <w:szCs w:val="20"/>
                <w:lang w:val="en-GB"/>
              </w:rPr>
              <w:t xml:space="preserve"> </w:t>
            </w:r>
            <w:r w:rsidR="00265CD7" w:rsidRPr="0089630F">
              <w:rPr>
                <w:rFonts w:ascii="Calibri" w:hAnsi="Calibri" w:cs="Calibri"/>
                <w:sz w:val="20"/>
                <w:szCs w:val="20"/>
                <w:lang w:val="en-GB"/>
              </w:rPr>
              <w:t>[</w:t>
            </w:r>
            <w:r w:rsidR="000D707D" w:rsidRPr="0089630F">
              <w:rPr>
                <w:rFonts w:ascii="Calibri" w:hAnsi="Calibri" w:cs="Calibri"/>
                <w:sz w:val="20"/>
                <w:szCs w:val="20"/>
                <w:lang w:val="en-GB"/>
              </w:rPr>
              <w:t>Section III.G.</w:t>
            </w:r>
            <w:r w:rsidR="00265CD7" w:rsidRPr="0089630F">
              <w:rPr>
                <w:rFonts w:ascii="Calibri" w:hAnsi="Calibri" w:cs="Calibri"/>
                <w:sz w:val="20"/>
                <w:szCs w:val="20"/>
                <w:lang w:val="en-GB"/>
              </w:rPr>
              <w:t>]</w:t>
            </w:r>
          </w:p>
        </w:tc>
      </w:tr>
      <w:tr w:rsidR="00E0226A" w:rsidRPr="0089630F" w14:paraId="405D4CA8" w14:textId="77777777" w:rsidTr="00CA3EED">
        <w:trPr>
          <w:jc w:val="center"/>
        </w:trPr>
        <w:tc>
          <w:tcPr>
            <w:tcW w:w="562" w:type="dxa"/>
            <w:tcBorders>
              <w:bottom w:val="single" w:sz="4" w:space="0" w:color="auto"/>
            </w:tcBorders>
            <w:vAlign w:val="center"/>
          </w:tcPr>
          <w:p w14:paraId="6F69EB81" w14:textId="6BC6B887" w:rsidR="00E0226A" w:rsidRPr="0089630F" w:rsidDel="00B34435" w:rsidRDefault="000A737D" w:rsidP="00E0226A">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15</w:t>
            </w:r>
          </w:p>
        </w:tc>
        <w:tc>
          <w:tcPr>
            <w:tcW w:w="9639" w:type="dxa"/>
            <w:tcBorders>
              <w:bottom w:val="single" w:sz="4" w:space="0" w:color="auto"/>
            </w:tcBorders>
            <w:vAlign w:val="center"/>
          </w:tcPr>
          <w:p w14:paraId="2A3F2C70" w14:textId="49A26110" w:rsidR="002C292B" w:rsidRPr="0089630F" w:rsidRDefault="00D87A75" w:rsidP="00E0226A">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What progress has been made</w:t>
            </w:r>
            <w:r w:rsidR="00945873">
              <w:rPr>
                <w:rFonts w:ascii="Calibri" w:hAnsi="Calibri" w:cs="Calibri"/>
                <w:sz w:val="20"/>
                <w:szCs w:val="20"/>
                <w:lang w:val="en-GB"/>
              </w:rPr>
              <w:t xml:space="preserve"> by your </w:t>
            </w:r>
            <w:r w:rsidR="00F36FD4">
              <w:rPr>
                <w:rFonts w:ascii="Calibri" w:hAnsi="Calibri" w:cs="Calibri"/>
                <w:sz w:val="20"/>
                <w:szCs w:val="20"/>
                <w:lang w:val="en-GB"/>
              </w:rPr>
              <w:t xml:space="preserve">stakeholder </w:t>
            </w:r>
            <w:r w:rsidR="00945873">
              <w:rPr>
                <w:rFonts w:ascii="Calibri" w:hAnsi="Calibri" w:cs="Calibri"/>
                <w:sz w:val="20"/>
                <w:szCs w:val="20"/>
                <w:lang w:val="en-GB"/>
              </w:rPr>
              <w:t>constituency</w:t>
            </w:r>
            <w:r w:rsidRPr="0089630F">
              <w:rPr>
                <w:rFonts w:ascii="Calibri" w:hAnsi="Calibri" w:cs="Calibri"/>
                <w:sz w:val="20"/>
                <w:szCs w:val="20"/>
                <w:lang w:val="en-GB"/>
              </w:rPr>
              <w:t xml:space="preserve"> in achieving the</w:t>
            </w:r>
            <w:r w:rsidR="00E0226A" w:rsidRPr="0089630F">
              <w:rPr>
                <w:rFonts w:ascii="Calibri" w:hAnsi="Calibri" w:cs="Calibri"/>
                <w:sz w:val="20"/>
                <w:szCs w:val="20"/>
                <w:lang w:val="en-GB"/>
              </w:rPr>
              <w:t xml:space="preserve"> </w:t>
            </w:r>
            <w:r w:rsidR="002D7108" w:rsidRPr="0089630F">
              <w:rPr>
                <w:rFonts w:ascii="Calibri" w:hAnsi="Calibri" w:cs="Calibri"/>
                <w:sz w:val="20"/>
                <w:szCs w:val="20"/>
                <w:lang w:val="en-GB"/>
              </w:rPr>
              <w:t xml:space="preserve">seven </w:t>
            </w:r>
            <w:r w:rsidR="002C292B" w:rsidRPr="0089630F">
              <w:rPr>
                <w:rFonts w:ascii="Calibri" w:hAnsi="Calibri" w:cs="Calibri"/>
                <w:sz w:val="20"/>
                <w:szCs w:val="20"/>
                <w:lang w:val="en-GB"/>
              </w:rPr>
              <w:t xml:space="preserve">global </w:t>
            </w:r>
            <w:r w:rsidR="00E0226A" w:rsidRPr="0089630F">
              <w:rPr>
                <w:rFonts w:ascii="Calibri" w:hAnsi="Calibri" w:cs="Calibri"/>
                <w:sz w:val="20"/>
                <w:szCs w:val="20"/>
                <w:lang w:val="en-GB"/>
              </w:rPr>
              <w:t>Targets</w:t>
            </w:r>
            <w:r w:rsidR="002C292B" w:rsidRPr="0089630F">
              <w:rPr>
                <w:rFonts w:ascii="Calibri" w:hAnsi="Calibri" w:cs="Calibri"/>
                <w:sz w:val="20"/>
                <w:szCs w:val="20"/>
                <w:lang w:val="en-GB"/>
              </w:rPr>
              <w:t xml:space="preserve"> of the Sendai Framework</w:t>
            </w:r>
            <w:r w:rsidR="00E0226A" w:rsidRPr="0089630F">
              <w:rPr>
                <w:rFonts w:ascii="Calibri" w:hAnsi="Calibri" w:cs="Calibri"/>
                <w:sz w:val="20"/>
                <w:szCs w:val="20"/>
                <w:lang w:val="en-GB"/>
              </w:rPr>
              <w:t xml:space="preserve">? </w:t>
            </w:r>
          </w:p>
          <w:p w14:paraId="5498819A" w14:textId="77777777" w:rsidR="002C292B" w:rsidRPr="0089630F" w:rsidRDefault="002C292B" w:rsidP="002C292B">
            <w:pPr>
              <w:spacing w:beforeLines="40" w:before="96" w:afterLines="40" w:after="96"/>
              <w:jc w:val="both"/>
              <w:rPr>
                <w:rFonts w:ascii="Calibri" w:hAnsi="Calibri" w:cs="Calibri"/>
                <w:sz w:val="20"/>
                <w:szCs w:val="20"/>
                <w:lang w:val="en-GB"/>
              </w:rPr>
            </w:pPr>
            <w:r w:rsidRPr="0089630F">
              <w:rPr>
                <w:rFonts w:ascii="Calibri" w:hAnsi="Calibri" w:cs="Calibri"/>
                <w:i/>
                <w:iCs/>
                <w:sz w:val="20"/>
                <w:szCs w:val="20"/>
                <w:u w:val="single"/>
                <w:lang w:val="en-GB"/>
              </w:rPr>
              <w:t>Probing Questions</w:t>
            </w:r>
            <w:r w:rsidRPr="0089630F">
              <w:rPr>
                <w:rFonts w:ascii="Calibri" w:hAnsi="Calibri" w:cs="Calibri"/>
                <w:sz w:val="20"/>
                <w:szCs w:val="20"/>
                <w:lang w:val="en-GB"/>
              </w:rPr>
              <w:t>:</w:t>
            </w:r>
          </w:p>
          <w:p w14:paraId="4D7C9B44" w14:textId="0CFAF948" w:rsidR="00E0226A" w:rsidRPr="0089630F" w:rsidDel="00B34435" w:rsidRDefault="002C292B" w:rsidP="000C1DDE">
            <w:pPr>
              <w:pStyle w:val="ListParagraph"/>
              <w:numPr>
                <w:ilvl w:val="0"/>
                <w:numId w:val="21"/>
              </w:numPr>
              <w:spacing w:after="160" w:line="259" w:lineRule="auto"/>
              <w:rPr>
                <w:rFonts w:ascii="Calibri" w:hAnsi="Calibri" w:cs="Calibri"/>
                <w:sz w:val="20"/>
                <w:szCs w:val="20"/>
                <w:lang w:val="en-GB"/>
              </w:rPr>
            </w:pPr>
            <w:r w:rsidRPr="0089630F">
              <w:rPr>
                <w:rFonts w:ascii="Calibri" w:hAnsi="Calibri" w:cs="Calibri"/>
                <w:sz w:val="20"/>
                <w:szCs w:val="20"/>
                <w:lang w:val="en-GB"/>
              </w:rPr>
              <w:t>What have been some of the major challenges?</w:t>
            </w:r>
          </w:p>
        </w:tc>
      </w:tr>
      <w:tr w:rsidR="00F43D26" w:rsidRPr="0089630F" w14:paraId="0A105E56" w14:textId="77777777" w:rsidTr="00CA3EED">
        <w:trPr>
          <w:jc w:val="center"/>
        </w:trPr>
        <w:tc>
          <w:tcPr>
            <w:tcW w:w="562" w:type="dxa"/>
            <w:tcBorders>
              <w:left w:val="nil"/>
              <w:right w:val="nil"/>
            </w:tcBorders>
            <w:vAlign w:val="center"/>
          </w:tcPr>
          <w:p w14:paraId="5131AD4C" w14:textId="77777777" w:rsidR="00F43D26" w:rsidRPr="0089630F" w:rsidRDefault="00F43D26" w:rsidP="00910473">
            <w:pPr>
              <w:jc w:val="both"/>
              <w:rPr>
                <w:rFonts w:ascii="Calibri" w:hAnsi="Calibri" w:cs="Calibri"/>
                <w:sz w:val="24"/>
                <w:szCs w:val="24"/>
                <w:lang w:val="en-GB"/>
              </w:rPr>
            </w:pPr>
          </w:p>
        </w:tc>
        <w:tc>
          <w:tcPr>
            <w:tcW w:w="9639" w:type="dxa"/>
            <w:tcBorders>
              <w:left w:val="nil"/>
              <w:right w:val="nil"/>
            </w:tcBorders>
            <w:vAlign w:val="center"/>
          </w:tcPr>
          <w:p w14:paraId="79D20B81" w14:textId="77777777" w:rsidR="00F43D26" w:rsidRPr="0089630F" w:rsidRDefault="00F43D26" w:rsidP="00910473">
            <w:pPr>
              <w:jc w:val="both"/>
              <w:rPr>
                <w:rFonts w:ascii="Calibri" w:hAnsi="Calibri" w:cs="Calibri"/>
                <w:sz w:val="24"/>
                <w:szCs w:val="24"/>
                <w:lang w:val="en-GB"/>
              </w:rPr>
            </w:pPr>
          </w:p>
        </w:tc>
      </w:tr>
      <w:tr w:rsidR="00861834" w:rsidRPr="0089630F" w14:paraId="5B6EB276" w14:textId="77777777" w:rsidTr="00CA3EED">
        <w:trPr>
          <w:trHeight w:val="251"/>
          <w:jc w:val="center"/>
        </w:trPr>
        <w:tc>
          <w:tcPr>
            <w:tcW w:w="10201" w:type="dxa"/>
            <w:gridSpan w:val="2"/>
            <w:shd w:val="clear" w:color="auto" w:fill="000000" w:themeFill="text1"/>
            <w:vAlign w:val="center"/>
          </w:tcPr>
          <w:p w14:paraId="7D9F1828" w14:textId="3A2C2938" w:rsidR="00861834" w:rsidRPr="0089630F" w:rsidRDefault="00861834" w:rsidP="00231F2E">
            <w:pPr>
              <w:spacing w:beforeLines="40" w:before="96" w:afterLines="40" w:after="96"/>
              <w:jc w:val="both"/>
              <w:rPr>
                <w:rFonts w:ascii="Calibri" w:hAnsi="Calibri" w:cs="Calibri"/>
                <w:color w:val="FFFFFF" w:themeColor="background1"/>
                <w:sz w:val="20"/>
                <w:szCs w:val="20"/>
                <w:lang w:val="en-GB"/>
              </w:rPr>
            </w:pPr>
            <w:r w:rsidRPr="0089630F">
              <w:rPr>
                <w:rFonts w:ascii="Calibri" w:hAnsi="Calibri" w:cs="Calibri"/>
                <w:color w:val="FFFFFF" w:themeColor="background1"/>
                <w:sz w:val="20"/>
                <w:szCs w:val="20"/>
                <w:lang w:val="en-GB"/>
              </w:rPr>
              <w:t>Context Shifts, New and Emerging Issues</w:t>
            </w:r>
            <w:r w:rsidR="000D707D" w:rsidRPr="0089630F">
              <w:rPr>
                <w:rFonts w:ascii="Calibri" w:hAnsi="Calibri" w:cs="Calibri"/>
                <w:color w:val="FFFFFF" w:themeColor="background1"/>
                <w:sz w:val="20"/>
                <w:szCs w:val="20"/>
                <w:lang w:val="en-GB"/>
              </w:rPr>
              <w:t xml:space="preserve"> </w:t>
            </w:r>
            <w:r w:rsidR="00265CD7" w:rsidRPr="0089630F">
              <w:rPr>
                <w:rFonts w:ascii="Calibri" w:hAnsi="Calibri" w:cs="Calibri"/>
                <w:color w:val="FFFFFF" w:themeColor="background1"/>
                <w:sz w:val="20"/>
                <w:szCs w:val="20"/>
                <w:lang w:val="en-GB"/>
              </w:rPr>
              <w:t>[</w:t>
            </w:r>
            <w:r w:rsidR="000D707D" w:rsidRPr="0089630F">
              <w:rPr>
                <w:rFonts w:ascii="Calibri" w:hAnsi="Calibri" w:cs="Calibri"/>
                <w:color w:val="FFFFFF" w:themeColor="background1"/>
                <w:sz w:val="20"/>
                <w:szCs w:val="20"/>
                <w:lang w:val="en-GB"/>
              </w:rPr>
              <w:t>Section IV.</w:t>
            </w:r>
            <w:r w:rsidR="00265CD7" w:rsidRPr="0089630F">
              <w:rPr>
                <w:rFonts w:ascii="Calibri" w:hAnsi="Calibri" w:cs="Calibri"/>
                <w:color w:val="FFFFFF" w:themeColor="background1"/>
                <w:sz w:val="20"/>
                <w:szCs w:val="20"/>
                <w:lang w:val="en-GB"/>
              </w:rPr>
              <w:t>]</w:t>
            </w:r>
          </w:p>
        </w:tc>
      </w:tr>
      <w:tr w:rsidR="00E0226A" w:rsidRPr="0089630F" w14:paraId="61E8FFC1" w14:textId="77777777" w:rsidTr="00CA3EED">
        <w:trPr>
          <w:trHeight w:val="251"/>
          <w:jc w:val="center"/>
        </w:trPr>
        <w:tc>
          <w:tcPr>
            <w:tcW w:w="10201" w:type="dxa"/>
            <w:gridSpan w:val="2"/>
            <w:shd w:val="clear" w:color="auto" w:fill="D9D9D9" w:themeFill="background1" w:themeFillShade="D9"/>
            <w:vAlign w:val="center"/>
          </w:tcPr>
          <w:p w14:paraId="4A315725" w14:textId="0A16A953" w:rsidR="00E0226A" w:rsidRPr="0089630F" w:rsidRDefault="00E0226A" w:rsidP="00E0226A">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Context Shifts and New Issues</w:t>
            </w:r>
            <w:r w:rsidR="00053368" w:rsidRPr="0089630F">
              <w:rPr>
                <w:rFonts w:ascii="Calibri" w:hAnsi="Calibri" w:cs="Calibri"/>
                <w:sz w:val="20"/>
                <w:szCs w:val="20"/>
                <w:lang w:val="en-GB"/>
              </w:rPr>
              <w:t xml:space="preserve"> </w:t>
            </w:r>
            <w:r w:rsidR="00A66274" w:rsidRPr="0089630F">
              <w:rPr>
                <w:rFonts w:ascii="Calibri" w:hAnsi="Calibri" w:cs="Calibri"/>
                <w:sz w:val="20"/>
                <w:szCs w:val="20"/>
                <w:lang w:val="en-GB"/>
              </w:rPr>
              <w:t>–</w:t>
            </w:r>
            <w:r w:rsidR="00053368" w:rsidRPr="0089630F">
              <w:rPr>
                <w:rFonts w:ascii="Calibri" w:hAnsi="Calibri" w:cs="Calibri"/>
                <w:sz w:val="20"/>
                <w:szCs w:val="20"/>
                <w:lang w:val="en-GB"/>
              </w:rPr>
              <w:t xml:space="preserve"> Retrospective</w:t>
            </w:r>
            <w:r w:rsidR="00AF7488" w:rsidRPr="0089630F">
              <w:rPr>
                <w:rFonts w:ascii="Calibri" w:hAnsi="Calibri" w:cs="Calibri"/>
                <w:sz w:val="20"/>
                <w:szCs w:val="20"/>
                <w:lang w:val="en-GB"/>
              </w:rPr>
              <w:t xml:space="preserve"> (2015 – 2022</w:t>
            </w:r>
            <w:r w:rsidR="00265CD7" w:rsidRPr="0089630F">
              <w:rPr>
                <w:rFonts w:ascii="Calibri" w:hAnsi="Calibri" w:cs="Calibri"/>
                <w:sz w:val="20"/>
                <w:szCs w:val="20"/>
                <w:lang w:val="en-GB"/>
              </w:rPr>
              <w:t>)</w:t>
            </w:r>
            <w:r w:rsidR="000D707D" w:rsidRPr="0089630F">
              <w:rPr>
                <w:rFonts w:ascii="Calibri" w:hAnsi="Calibri" w:cs="Calibri"/>
                <w:sz w:val="20"/>
                <w:szCs w:val="20"/>
                <w:lang w:val="en-GB"/>
              </w:rPr>
              <w:t xml:space="preserve"> </w:t>
            </w:r>
            <w:r w:rsidR="00265CD7" w:rsidRPr="0089630F">
              <w:rPr>
                <w:rFonts w:ascii="Calibri" w:hAnsi="Calibri" w:cs="Calibri"/>
                <w:sz w:val="20"/>
                <w:szCs w:val="20"/>
                <w:lang w:val="en-GB"/>
              </w:rPr>
              <w:t>[</w:t>
            </w:r>
            <w:r w:rsidR="000D707D" w:rsidRPr="0089630F">
              <w:rPr>
                <w:rFonts w:ascii="Calibri" w:hAnsi="Calibri" w:cs="Calibri"/>
                <w:sz w:val="20"/>
                <w:szCs w:val="20"/>
                <w:lang w:val="en-GB"/>
              </w:rPr>
              <w:t>Section IV.A.</w:t>
            </w:r>
            <w:r w:rsidR="00265CD7" w:rsidRPr="0089630F">
              <w:rPr>
                <w:rFonts w:ascii="Calibri" w:hAnsi="Calibri" w:cs="Calibri"/>
                <w:sz w:val="20"/>
                <w:szCs w:val="20"/>
                <w:lang w:val="en-GB"/>
              </w:rPr>
              <w:t>]</w:t>
            </w:r>
          </w:p>
        </w:tc>
      </w:tr>
      <w:tr w:rsidR="00E0226A" w:rsidRPr="0089630F" w14:paraId="4C344B96" w14:textId="77777777" w:rsidTr="00CA3EED">
        <w:trPr>
          <w:jc w:val="center"/>
        </w:trPr>
        <w:tc>
          <w:tcPr>
            <w:tcW w:w="562" w:type="dxa"/>
            <w:vAlign w:val="center"/>
          </w:tcPr>
          <w:p w14:paraId="42A87CBC" w14:textId="0230A4FB" w:rsidR="00E0226A" w:rsidRPr="0089630F" w:rsidRDefault="00BE414D" w:rsidP="00E0226A">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16</w:t>
            </w:r>
          </w:p>
        </w:tc>
        <w:tc>
          <w:tcPr>
            <w:tcW w:w="9639" w:type="dxa"/>
            <w:vAlign w:val="center"/>
          </w:tcPr>
          <w:p w14:paraId="5A4FA9AA" w14:textId="399F76DB" w:rsidR="00E0226A" w:rsidRPr="0089630F" w:rsidRDefault="00E0226A" w:rsidP="00E0226A">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 xml:space="preserve">What have been the major changes to the contexts within which </w:t>
            </w:r>
            <w:r w:rsidR="00C70AB4" w:rsidRPr="0089630F">
              <w:rPr>
                <w:rFonts w:ascii="Calibri" w:hAnsi="Calibri" w:cs="Calibri"/>
                <w:sz w:val="20"/>
                <w:szCs w:val="20"/>
                <w:lang w:val="en-GB"/>
              </w:rPr>
              <w:t xml:space="preserve">your </w:t>
            </w:r>
            <w:r w:rsidR="00690E1E" w:rsidRPr="0089630F">
              <w:rPr>
                <w:rFonts w:ascii="Calibri" w:hAnsi="Calibri" w:cs="Calibri"/>
                <w:sz w:val="20"/>
                <w:szCs w:val="20"/>
                <w:lang w:val="en-GB"/>
              </w:rPr>
              <w:t>constituency</w:t>
            </w:r>
            <w:r w:rsidRPr="0089630F">
              <w:rPr>
                <w:rFonts w:ascii="Calibri" w:hAnsi="Calibri" w:cs="Calibri"/>
                <w:sz w:val="20"/>
                <w:szCs w:val="20"/>
                <w:lang w:val="en-GB"/>
              </w:rPr>
              <w:t xml:space="preserve"> ha</w:t>
            </w:r>
            <w:r w:rsidR="00C70AB4" w:rsidRPr="0089630F">
              <w:rPr>
                <w:rFonts w:ascii="Calibri" w:hAnsi="Calibri" w:cs="Calibri"/>
                <w:sz w:val="20"/>
                <w:szCs w:val="20"/>
                <w:lang w:val="en-GB"/>
              </w:rPr>
              <w:t>s</w:t>
            </w:r>
            <w:r w:rsidRPr="0089630F">
              <w:rPr>
                <w:rFonts w:ascii="Calibri" w:hAnsi="Calibri" w:cs="Calibri"/>
                <w:sz w:val="20"/>
                <w:szCs w:val="20"/>
                <w:lang w:val="en-GB"/>
              </w:rPr>
              <w:t xml:space="preserve"> been implementing the Framework since 2015?</w:t>
            </w:r>
            <w:r w:rsidR="000D707D" w:rsidRPr="0089630F">
              <w:rPr>
                <w:rFonts w:ascii="Calibri" w:hAnsi="Calibri" w:cs="Calibri"/>
                <w:sz w:val="20"/>
                <w:szCs w:val="20"/>
                <w:lang w:val="en-GB"/>
              </w:rPr>
              <w:t xml:space="preserve"> Including emerging issues and topics of concern.</w:t>
            </w:r>
          </w:p>
          <w:p w14:paraId="2934240D" w14:textId="77777777" w:rsidR="009B1319" w:rsidRPr="0089630F" w:rsidRDefault="009B1319" w:rsidP="009B1319">
            <w:pPr>
              <w:spacing w:beforeLines="40" w:before="96" w:afterLines="40" w:after="96"/>
              <w:jc w:val="both"/>
              <w:rPr>
                <w:rFonts w:ascii="Calibri" w:hAnsi="Calibri" w:cs="Calibri"/>
                <w:sz w:val="20"/>
                <w:szCs w:val="20"/>
                <w:lang w:val="en-GB"/>
              </w:rPr>
            </w:pPr>
            <w:r w:rsidRPr="0089630F">
              <w:rPr>
                <w:rFonts w:ascii="Calibri" w:hAnsi="Calibri" w:cs="Calibri"/>
                <w:i/>
                <w:iCs/>
                <w:sz w:val="20"/>
                <w:szCs w:val="20"/>
                <w:u w:val="single"/>
                <w:lang w:val="en-GB"/>
              </w:rPr>
              <w:t>Probing Questions</w:t>
            </w:r>
            <w:r w:rsidRPr="0089630F">
              <w:rPr>
                <w:rFonts w:ascii="Calibri" w:hAnsi="Calibri" w:cs="Calibri"/>
                <w:sz w:val="20"/>
                <w:szCs w:val="20"/>
                <w:lang w:val="en-GB"/>
              </w:rPr>
              <w:t>:</w:t>
            </w:r>
          </w:p>
          <w:p w14:paraId="5057C716" w14:textId="00D6ACE4" w:rsidR="009B1319" w:rsidRPr="0089630F" w:rsidRDefault="00CE3640" w:rsidP="000C1DDE">
            <w:pPr>
              <w:pStyle w:val="ListParagraph"/>
              <w:numPr>
                <w:ilvl w:val="0"/>
                <w:numId w:val="22"/>
              </w:numPr>
              <w:spacing w:after="160" w:line="259" w:lineRule="auto"/>
              <w:rPr>
                <w:rFonts w:ascii="Calibri" w:hAnsi="Calibri" w:cs="Calibri"/>
                <w:sz w:val="20"/>
                <w:szCs w:val="20"/>
                <w:lang w:val="en-GB"/>
              </w:rPr>
            </w:pPr>
            <w:r w:rsidRPr="0089630F">
              <w:rPr>
                <w:rFonts w:ascii="Calibri" w:hAnsi="Calibri" w:cs="Calibri"/>
                <w:sz w:val="20"/>
                <w:szCs w:val="20"/>
                <w:lang w:val="en-GB"/>
              </w:rPr>
              <w:t xml:space="preserve">How </w:t>
            </w:r>
            <w:r w:rsidR="00C47EF4" w:rsidRPr="0089630F">
              <w:rPr>
                <w:rFonts w:ascii="Calibri" w:hAnsi="Calibri" w:cs="Calibri"/>
                <w:sz w:val="20"/>
                <w:szCs w:val="20"/>
                <w:lang w:val="en-GB"/>
              </w:rPr>
              <w:t xml:space="preserve">have existing risk governance and risk management </w:t>
            </w:r>
            <w:r w:rsidR="00807E88" w:rsidRPr="0089630F">
              <w:rPr>
                <w:rFonts w:ascii="Calibri" w:hAnsi="Calibri" w:cs="Calibri"/>
                <w:sz w:val="20"/>
                <w:szCs w:val="20"/>
                <w:lang w:val="en-GB"/>
              </w:rPr>
              <w:t>mechanisms</w:t>
            </w:r>
            <w:r w:rsidR="00C47EF4" w:rsidRPr="0089630F">
              <w:rPr>
                <w:rFonts w:ascii="Calibri" w:hAnsi="Calibri" w:cs="Calibri"/>
                <w:sz w:val="20"/>
                <w:szCs w:val="20"/>
                <w:lang w:val="en-GB"/>
              </w:rPr>
              <w:t xml:space="preserve"> and approaches</w:t>
            </w:r>
            <w:r w:rsidR="00807E88" w:rsidRPr="0089630F">
              <w:rPr>
                <w:rFonts w:ascii="Calibri" w:hAnsi="Calibri" w:cs="Calibri"/>
                <w:sz w:val="20"/>
                <w:szCs w:val="20"/>
                <w:lang w:val="en-GB"/>
              </w:rPr>
              <w:t xml:space="preserve"> fared in</w:t>
            </w:r>
            <w:r w:rsidRPr="0089630F">
              <w:rPr>
                <w:rFonts w:ascii="Calibri" w:hAnsi="Calibri" w:cs="Calibri"/>
                <w:sz w:val="20"/>
                <w:szCs w:val="20"/>
                <w:lang w:val="en-GB"/>
              </w:rPr>
              <w:t xml:space="preserve"> the COVID-19 pandemic</w:t>
            </w:r>
            <w:r w:rsidR="009B1319" w:rsidRPr="0089630F">
              <w:rPr>
                <w:rFonts w:ascii="Calibri" w:hAnsi="Calibri" w:cs="Calibri"/>
                <w:sz w:val="20"/>
                <w:szCs w:val="20"/>
                <w:lang w:val="en-GB"/>
              </w:rPr>
              <w:t>?</w:t>
            </w:r>
          </w:p>
          <w:p w14:paraId="5FB7CFC1" w14:textId="77777777" w:rsidR="00135C68" w:rsidRPr="0089630F" w:rsidRDefault="00B877F6" w:rsidP="000C1DDE">
            <w:pPr>
              <w:pStyle w:val="ListParagraph"/>
              <w:numPr>
                <w:ilvl w:val="0"/>
                <w:numId w:val="22"/>
              </w:numPr>
              <w:spacing w:after="160" w:line="259" w:lineRule="auto"/>
              <w:rPr>
                <w:rFonts w:ascii="Calibri" w:hAnsi="Calibri" w:cs="Calibri"/>
                <w:sz w:val="20"/>
                <w:szCs w:val="20"/>
                <w:lang w:val="en-GB"/>
              </w:rPr>
            </w:pPr>
            <w:r w:rsidRPr="0089630F">
              <w:rPr>
                <w:rFonts w:ascii="Calibri" w:hAnsi="Calibri" w:cs="Calibri"/>
                <w:sz w:val="20"/>
                <w:szCs w:val="20"/>
                <w:lang w:val="en-GB"/>
              </w:rPr>
              <w:t>What impact is the deepening climate crisis having on</w:t>
            </w:r>
            <w:r w:rsidR="00135C68" w:rsidRPr="0089630F">
              <w:rPr>
                <w:rFonts w:ascii="Calibri" w:hAnsi="Calibri" w:cs="Calibri"/>
                <w:sz w:val="20"/>
                <w:szCs w:val="20"/>
                <w:lang w:val="en-GB"/>
              </w:rPr>
              <w:t xml:space="preserve"> the implementation of the Sendai Framework?</w:t>
            </w:r>
          </w:p>
          <w:p w14:paraId="54C6082B" w14:textId="59C327B2" w:rsidR="009B1319" w:rsidRPr="0089630F" w:rsidRDefault="008B005D" w:rsidP="000C1DDE">
            <w:pPr>
              <w:pStyle w:val="ListParagraph"/>
              <w:numPr>
                <w:ilvl w:val="0"/>
                <w:numId w:val="22"/>
              </w:numPr>
              <w:spacing w:after="160" w:line="259" w:lineRule="auto"/>
              <w:rPr>
                <w:rFonts w:ascii="Calibri" w:hAnsi="Calibri" w:cs="Calibri"/>
                <w:sz w:val="20"/>
                <w:szCs w:val="20"/>
                <w:lang w:val="en-GB"/>
              </w:rPr>
            </w:pPr>
            <w:r w:rsidRPr="0089630F">
              <w:rPr>
                <w:rFonts w:ascii="Calibri" w:hAnsi="Calibri" w:cs="Calibri"/>
                <w:sz w:val="20"/>
                <w:szCs w:val="20"/>
                <w:lang w:val="en-GB"/>
              </w:rPr>
              <w:t>How has the implementation of the Sendai Framework been affected by shifts in biological diversity and health</w:t>
            </w:r>
            <w:r w:rsidR="00CE07EE" w:rsidRPr="0089630F">
              <w:rPr>
                <w:rFonts w:ascii="Calibri" w:hAnsi="Calibri" w:cs="Calibri"/>
                <w:sz w:val="20"/>
                <w:szCs w:val="20"/>
                <w:lang w:val="en-GB"/>
              </w:rPr>
              <w:t xml:space="preserve"> of ecosystems</w:t>
            </w:r>
            <w:r w:rsidRPr="0089630F">
              <w:rPr>
                <w:rFonts w:ascii="Calibri" w:hAnsi="Calibri" w:cs="Calibri"/>
                <w:sz w:val="20"/>
                <w:szCs w:val="20"/>
                <w:lang w:val="en-GB"/>
              </w:rPr>
              <w:t>?</w:t>
            </w:r>
          </w:p>
        </w:tc>
      </w:tr>
      <w:tr w:rsidR="00053368" w:rsidRPr="0089630F" w14:paraId="6345824A" w14:textId="77777777" w:rsidTr="00CA3EED">
        <w:trPr>
          <w:trHeight w:val="251"/>
          <w:jc w:val="center"/>
        </w:trPr>
        <w:tc>
          <w:tcPr>
            <w:tcW w:w="10201" w:type="dxa"/>
            <w:gridSpan w:val="2"/>
            <w:shd w:val="clear" w:color="auto" w:fill="D9D9D9" w:themeFill="background1" w:themeFillShade="D9"/>
            <w:vAlign w:val="center"/>
          </w:tcPr>
          <w:p w14:paraId="660830D0" w14:textId="32A4F74E" w:rsidR="00053368" w:rsidRPr="0089630F" w:rsidRDefault="00053368" w:rsidP="00231F2E">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Emerging Issues and Future Contexts – Prospective (to 2030 and beyond)</w:t>
            </w:r>
            <w:r w:rsidR="00265CD7" w:rsidRPr="0089630F">
              <w:rPr>
                <w:rFonts w:ascii="Calibri" w:hAnsi="Calibri" w:cs="Calibri"/>
                <w:sz w:val="20"/>
                <w:szCs w:val="20"/>
                <w:lang w:val="en-GB"/>
              </w:rPr>
              <w:t xml:space="preserve"> [Section IV.B.]</w:t>
            </w:r>
          </w:p>
        </w:tc>
      </w:tr>
      <w:tr w:rsidR="00053368" w:rsidRPr="0089630F" w14:paraId="41812AE9" w14:textId="77777777" w:rsidTr="00CA3EED">
        <w:trPr>
          <w:jc w:val="center"/>
        </w:trPr>
        <w:tc>
          <w:tcPr>
            <w:tcW w:w="562" w:type="dxa"/>
            <w:vAlign w:val="center"/>
          </w:tcPr>
          <w:p w14:paraId="7CA4374E" w14:textId="1F35F047" w:rsidR="00053368" w:rsidRPr="0089630F" w:rsidRDefault="00BE414D" w:rsidP="00231F2E">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17</w:t>
            </w:r>
          </w:p>
        </w:tc>
        <w:tc>
          <w:tcPr>
            <w:tcW w:w="9639" w:type="dxa"/>
            <w:vAlign w:val="center"/>
          </w:tcPr>
          <w:p w14:paraId="7983CFBF" w14:textId="192C068C" w:rsidR="00053368" w:rsidRPr="0089630F" w:rsidRDefault="00053368" w:rsidP="00231F2E">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 xml:space="preserve">What major changes / emerging issues / topics of concern are anticipated in the period to 2030 and beyond, </w:t>
            </w:r>
            <w:r w:rsidR="00046429" w:rsidRPr="0089630F">
              <w:rPr>
                <w:rFonts w:ascii="Calibri" w:hAnsi="Calibri" w:cs="Calibri"/>
                <w:sz w:val="20"/>
                <w:szCs w:val="20"/>
                <w:lang w:val="en-GB"/>
              </w:rPr>
              <w:t xml:space="preserve">and </w:t>
            </w:r>
            <w:r w:rsidRPr="0089630F">
              <w:rPr>
                <w:rFonts w:ascii="Calibri" w:hAnsi="Calibri" w:cs="Calibri"/>
                <w:sz w:val="20"/>
                <w:szCs w:val="20"/>
                <w:lang w:val="en-GB"/>
              </w:rPr>
              <w:t>which will need to be considered in prioritising, accelerating and amplifying action?</w:t>
            </w:r>
          </w:p>
          <w:p w14:paraId="50C5BD3C" w14:textId="77777777" w:rsidR="002C77AE" w:rsidRPr="0089630F" w:rsidRDefault="002C77AE" w:rsidP="002C77AE">
            <w:pPr>
              <w:spacing w:beforeLines="40" w:before="96" w:afterLines="40" w:after="96"/>
              <w:jc w:val="both"/>
              <w:rPr>
                <w:rFonts w:ascii="Calibri" w:hAnsi="Calibri" w:cs="Calibri"/>
                <w:sz w:val="20"/>
                <w:szCs w:val="20"/>
                <w:lang w:val="en-GB"/>
              </w:rPr>
            </w:pPr>
            <w:r w:rsidRPr="0089630F">
              <w:rPr>
                <w:rFonts w:ascii="Calibri" w:hAnsi="Calibri" w:cs="Calibri"/>
                <w:i/>
                <w:iCs/>
                <w:sz w:val="20"/>
                <w:szCs w:val="20"/>
                <w:u w:val="single"/>
                <w:lang w:val="en-GB"/>
              </w:rPr>
              <w:t>Probing Questions</w:t>
            </w:r>
            <w:r w:rsidRPr="0089630F">
              <w:rPr>
                <w:rFonts w:ascii="Calibri" w:hAnsi="Calibri" w:cs="Calibri"/>
                <w:sz w:val="20"/>
                <w:szCs w:val="20"/>
                <w:lang w:val="en-GB"/>
              </w:rPr>
              <w:t>:</w:t>
            </w:r>
          </w:p>
          <w:p w14:paraId="42EAB727" w14:textId="1C10BEC9" w:rsidR="002C77AE" w:rsidRPr="0089630F" w:rsidRDefault="009E46BB" w:rsidP="000C1DDE">
            <w:pPr>
              <w:pStyle w:val="ListParagraph"/>
              <w:numPr>
                <w:ilvl w:val="0"/>
                <w:numId w:val="23"/>
              </w:numPr>
              <w:spacing w:after="160" w:line="259" w:lineRule="auto"/>
              <w:rPr>
                <w:rFonts w:ascii="Calibri" w:hAnsi="Calibri" w:cs="Calibri"/>
                <w:sz w:val="20"/>
                <w:szCs w:val="20"/>
                <w:lang w:val="en-GB"/>
              </w:rPr>
            </w:pPr>
            <w:r w:rsidRPr="0089630F">
              <w:rPr>
                <w:rFonts w:ascii="Calibri" w:hAnsi="Calibri" w:cs="Calibri"/>
                <w:sz w:val="20"/>
                <w:szCs w:val="20"/>
                <w:lang w:val="en-GB"/>
              </w:rPr>
              <w:t>The COVID-19 pandemic and the climate crisis</w:t>
            </w:r>
            <w:r w:rsidR="00E3076E" w:rsidRPr="0089630F">
              <w:rPr>
                <w:rFonts w:ascii="Calibri" w:hAnsi="Calibri" w:cs="Calibri"/>
                <w:sz w:val="20"/>
                <w:szCs w:val="20"/>
                <w:lang w:val="en-GB"/>
              </w:rPr>
              <w:t xml:space="preserve"> </w:t>
            </w:r>
            <w:r w:rsidR="00F11693" w:rsidRPr="0089630F">
              <w:rPr>
                <w:rFonts w:ascii="Calibri" w:hAnsi="Calibri" w:cs="Calibri"/>
                <w:sz w:val="20"/>
                <w:szCs w:val="20"/>
                <w:lang w:val="en-GB"/>
              </w:rPr>
              <w:t xml:space="preserve">are two of the most obvious recent </w:t>
            </w:r>
            <w:r w:rsidR="000B6E42" w:rsidRPr="0089630F">
              <w:rPr>
                <w:rFonts w:ascii="Calibri" w:hAnsi="Calibri" w:cs="Calibri"/>
                <w:sz w:val="20"/>
                <w:szCs w:val="20"/>
                <w:lang w:val="en-GB"/>
              </w:rPr>
              <w:t>exemplars of</w:t>
            </w:r>
            <w:r w:rsidR="00E3076E" w:rsidRPr="0089630F">
              <w:rPr>
                <w:rFonts w:ascii="Calibri" w:hAnsi="Calibri" w:cs="Calibri"/>
                <w:sz w:val="20"/>
                <w:szCs w:val="20"/>
                <w:lang w:val="en-GB"/>
              </w:rPr>
              <w:t xml:space="preserve"> the systemic nature of risk</w:t>
            </w:r>
            <w:r w:rsidR="000B6E42" w:rsidRPr="0089630F">
              <w:rPr>
                <w:rFonts w:ascii="Calibri" w:hAnsi="Calibri" w:cs="Calibri"/>
                <w:sz w:val="20"/>
                <w:szCs w:val="20"/>
                <w:lang w:val="en-GB"/>
              </w:rPr>
              <w:t>, what else is on the radar</w:t>
            </w:r>
            <w:r w:rsidR="002C77AE" w:rsidRPr="0089630F">
              <w:rPr>
                <w:rFonts w:ascii="Calibri" w:hAnsi="Calibri" w:cs="Calibri"/>
                <w:sz w:val="20"/>
                <w:szCs w:val="20"/>
                <w:lang w:val="en-GB"/>
              </w:rPr>
              <w:t>?</w:t>
            </w:r>
          </w:p>
        </w:tc>
      </w:tr>
      <w:tr w:rsidR="00A66274" w:rsidRPr="0089630F" w14:paraId="44E0FAC8" w14:textId="77777777" w:rsidTr="00CA3EED">
        <w:trPr>
          <w:jc w:val="center"/>
        </w:trPr>
        <w:tc>
          <w:tcPr>
            <w:tcW w:w="562" w:type="dxa"/>
            <w:tcBorders>
              <w:left w:val="nil"/>
              <w:right w:val="nil"/>
            </w:tcBorders>
            <w:vAlign w:val="center"/>
          </w:tcPr>
          <w:p w14:paraId="7B7B5AA7" w14:textId="77777777" w:rsidR="00A66274" w:rsidRPr="0089630F" w:rsidRDefault="00A66274" w:rsidP="007334C7">
            <w:pPr>
              <w:jc w:val="both"/>
              <w:rPr>
                <w:rFonts w:ascii="Calibri" w:hAnsi="Calibri" w:cs="Calibri"/>
                <w:sz w:val="24"/>
                <w:szCs w:val="24"/>
                <w:lang w:val="en-GB"/>
              </w:rPr>
            </w:pPr>
          </w:p>
        </w:tc>
        <w:tc>
          <w:tcPr>
            <w:tcW w:w="9639" w:type="dxa"/>
            <w:tcBorders>
              <w:left w:val="nil"/>
              <w:right w:val="nil"/>
            </w:tcBorders>
            <w:vAlign w:val="center"/>
          </w:tcPr>
          <w:p w14:paraId="4651A2D7" w14:textId="77777777" w:rsidR="00A66274" w:rsidRPr="0089630F" w:rsidRDefault="00A66274" w:rsidP="007334C7">
            <w:pPr>
              <w:jc w:val="both"/>
              <w:rPr>
                <w:rFonts w:ascii="Calibri" w:hAnsi="Calibri" w:cs="Calibri"/>
                <w:sz w:val="24"/>
                <w:szCs w:val="24"/>
                <w:lang w:val="en-GB"/>
              </w:rPr>
            </w:pPr>
          </w:p>
        </w:tc>
      </w:tr>
      <w:tr w:rsidR="00E0226A" w:rsidRPr="0089630F" w14:paraId="09A03E6E" w14:textId="368911B4" w:rsidTr="00CA3EED">
        <w:trPr>
          <w:trHeight w:val="251"/>
          <w:jc w:val="center"/>
        </w:trPr>
        <w:tc>
          <w:tcPr>
            <w:tcW w:w="10201" w:type="dxa"/>
            <w:gridSpan w:val="2"/>
            <w:shd w:val="clear" w:color="auto" w:fill="000000" w:themeFill="text1"/>
            <w:vAlign w:val="center"/>
          </w:tcPr>
          <w:p w14:paraId="7E6F29B7" w14:textId="0C4340B1" w:rsidR="00E0226A" w:rsidRPr="0089630F" w:rsidRDefault="00E0226A" w:rsidP="00E0226A">
            <w:pPr>
              <w:spacing w:beforeLines="40" w:before="96" w:afterLines="40" w:after="96"/>
              <w:jc w:val="both"/>
              <w:rPr>
                <w:rFonts w:ascii="Calibri" w:hAnsi="Calibri" w:cs="Calibri"/>
                <w:color w:val="FFFFFF" w:themeColor="background1"/>
                <w:sz w:val="20"/>
                <w:szCs w:val="20"/>
                <w:lang w:val="en-GB"/>
              </w:rPr>
            </w:pPr>
            <w:r w:rsidRPr="0089630F">
              <w:rPr>
                <w:rFonts w:ascii="Calibri" w:hAnsi="Calibri" w:cs="Calibri"/>
                <w:color w:val="FFFFFF" w:themeColor="background1"/>
                <w:sz w:val="20"/>
                <w:szCs w:val="20"/>
                <w:lang w:val="en-GB"/>
              </w:rPr>
              <w:t>MTR SF – Prospective Review (to 2030 and beyond)</w:t>
            </w:r>
            <w:r w:rsidR="00BE414D" w:rsidRPr="0089630F">
              <w:rPr>
                <w:rFonts w:ascii="Calibri" w:hAnsi="Calibri" w:cs="Calibri"/>
                <w:color w:val="FFFFFF" w:themeColor="background1"/>
                <w:sz w:val="20"/>
                <w:szCs w:val="20"/>
                <w:lang w:val="en-GB"/>
              </w:rPr>
              <w:t xml:space="preserve"> [Section V.]</w:t>
            </w:r>
          </w:p>
        </w:tc>
      </w:tr>
      <w:tr w:rsidR="00F43D26" w:rsidRPr="0089630F" w14:paraId="68E9541D" w14:textId="478B8FD5" w:rsidTr="00CA3EED">
        <w:trPr>
          <w:trHeight w:val="251"/>
          <w:jc w:val="center"/>
        </w:trPr>
        <w:tc>
          <w:tcPr>
            <w:tcW w:w="10201" w:type="dxa"/>
            <w:gridSpan w:val="2"/>
            <w:shd w:val="clear" w:color="auto" w:fill="D9D9D9" w:themeFill="background1" w:themeFillShade="D9"/>
            <w:vAlign w:val="center"/>
          </w:tcPr>
          <w:p w14:paraId="6387B9A1" w14:textId="644185D1" w:rsidR="00E0226A" w:rsidRPr="0089630F" w:rsidRDefault="00E0226A" w:rsidP="00E0226A">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Outcome and Goal</w:t>
            </w:r>
            <w:r w:rsidR="00BE414D" w:rsidRPr="0089630F">
              <w:rPr>
                <w:rFonts w:ascii="Calibri" w:hAnsi="Calibri" w:cs="Calibri"/>
                <w:sz w:val="20"/>
                <w:szCs w:val="20"/>
                <w:lang w:val="en-GB"/>
              </w:rPr>
              <w:t xml:space="preserve"> [Section V.A.]</w:t>
            </w:r>
          </w:p>
        </w:tc>
      </w:tr>
      <w:tr w:rsidR="00E0226A" w:rsidRPr="0089630F" w14:paraId="7630EF7D" w14:textId="77777777" w:rsidTr="00CA3EED">
        <w:trPr>
          <w:jc w:val="center"/>
        </w:trPr>
        <w:tc>
          <w:tcPr>
            <w:tcW w:w="562" w:type="dxa"/>
            <w:vAlign w:val="center"/>
          </w:tcPr>
          <w:p w14:paraId="1F9AEFFD" w14:textId="734F8505" w:rsidR="00E0226A" w:rsidRPr="0089630F" w:rsidRDefault="00BE414D" w:rsidP="00E0226A">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18</w:t>
            </w:r>
          </w:p>
        </w:tc>
        <w:tc>
          <w:tcPr>
            <w:tcW w:w="9639" w:type="dxa"/>
            <w:vAlign w:val="center"/>
          </w:tcPr>
          <w:p w14:paraId="35B5EC90" w14:textId="550D29F7" w:rsidR="00E0226A" w:rsidRPr="0089630F" w:rsidRDefault="00E0226A" w:rsidP="00E0226A">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 xml:space="preserve">What </w:t>
            </w:r>
            <w:r w:rsidR="003B4B50" w:rsidRPr="0089630F">
              <w:rPr>
                <w:rFonts w:ascii="Calibri" w:hAnsi="Calibri" w:cs="Calibri"/>
                <w:sz w:val="20"/>
                <w:szCs w:val="20"/>
                <w:lang w:val="en-GB"/>
              </w:rPr>
              <w:t xml:space="preserve">5 </w:t>
            </w:r>
            <w:r w:rsidRPr="0089630F">
              <w:rPr>
                <w:rFonts w:ascii="Calibri" w:hAnsi="Calibri" w:cs="Calibri"/>
                <w:sz w:val="20"/>
                <w:szCs w:val="20"/>
                <w:lang w:val="en-GB"/>
              </w:rPr>
              <w:t xml:space="preserve">deliverables, innovations, processes, </w:t>
            </w:r>
            <w:r w:rsidR="0079708F" w:rsidRPr="0089630F">
              <w:rPr>
                <w:rFonts w:ascii="Calibri" w:hAnsi="Calibri" w:cs="Calibri"/>
                <w:sz w:val="20"/>
                <w:szCs w:val="20"/>
                <w:lang w:val="en-GB"/>
              </w:rPr>
              <w:t xml:space="preserve">or </w:t>
            </w:r>
            <w:r w:rsidRPr="0089630F">
              <w:rPr>
                <w:rFonts w:ascii="Calibri" w:hAnsi="Calibri" w:cs="Calibri"/>
                <w:sz w:val="20"/>
                <w:szCs w:val="20"/>
                <w:lang w:val="en-GB"/>
              </w:rPr>
              <w:t>transformations, etc. would bring the greatest reduction in disaster risk and the greatest increase in the resilience of people, assets and ecosystems in the remaining period of the Sendai Framework and beyond 2030?</w:t>
            </w:r>
          </w:p>
          <w:p w14:paraId="1F411014" w14:textId="77777777" w:rsidR="00F24F53" w:rsidRPr="0089630F" w:rsidRDefault="00F24F53" w:rsidP="00F24F53">
            <w:pPr>
              <w:spacing w:beforeLines="40" w:before="96" w:afterLines="40" w:after="96"/>
              <w:jc w:val="both"/>
              <w:rPr>
                <w:rFonts w:ascii="Calibri" w:hAnsi="Calibri" w:cs="Calibri"/>
                <w:sz w:val="20"/>
                <w:szCs w:val="20"/>
                <w:lang w:val="en-GB"/>
              </w:rPr>
            </w:pPr>
            <w:r w:rsidRPr="0089630F">
              <w:rPr>
                <w:rFonts w:ascii="Calibri" w:hAnsi="Calibri" w:cs="Calibri"/>
                <w:i/>
                <w:iCs/>
                <w:sz w:val="20"/>
                <w:szCs w:val="20"/>
                <w:u w:val="single"/>
                <w:lang w:val="en-GB"/>
              </w:rPr>
              <w:t>Probing Questions</w:t>
            </w:r>
            <w:r w:rsidRPr="0089630F">
              <w:rPr>
                <w:rFonts w:ascii="Calibri" w:hAnsi="Calibri" w:cs="Calibri"/>
                <w:sz w:val="20"/>
                <w:szCs w:val="20"/>
                <w:lang w:val="en-GB"/>
              </w:rPr>
              <w:t>:</w:t>
            </w:r>
          </w:p>
          <w:p w14:paraId="5A38A520" w14:textId="26F726C0" w:rsidR="00F24F53" w:rsidRPr="0089630F" w:rsidRDefault="00F24F53" w:rsidP="000C1DDE">
            <w:pPr>
              <w:pStyle w:val="ListParagraph"/>
              <w:numPr>
                <w:ilvl w:val="0"/>
                <w:numId w:val="24"/>
              </w:numPr>
              <w:spacing w:beforeLines="40" w:before="96" w:afterLines="40" w:after="96" w:line="259" w:lineRule="auto"/>
              <w:jc w:val="both"/>
              <w:rPr>
                <w:rFonts w:ascii="Calibri" w:hAnsi="Calibri" w:cs="Calibri"/>
                <w:sz w:val="20"/>
                <w:szCs w:val="20"/>
                <w:lang w:val="en-GB"/>
              </w:rPr>
            </w:pPr>
            <w:r w:rsidRPr="0089630F">
              <w:rPr>
                <w:rFonts w:ascii="Calibri" w:hAnsi="Calibri" w:cs="Calibri"/>
                <w:sz w:val="20"/>
                <w:szCs w:val="20"/>
                <w:lang w:val="en-GB"/>
              </w:rPr>
              <w:t>What are the key measures that must be taken to build the resilience of critical infrastructure and basic services</w:t>
            </w:r>
            <w:r w:rsidR="004C5661" w:rsidRPr="0089630F">
              <w:rPr>
                <w:rFonts w:ascii="Calibri" w:hAnsi="Calibri" w:cs="Calibri"/>
                <w:sz w:val="20"/>
                <w:szCs w:val="20"/>
                <w:lang w:val="en-GB"/>
              </w:rPr>
              <w:t>?</w:t>
            </w:r>
          </w:p>
          <w:p w14:paraId="57322D44" w14:textId="750FCF28" w:rsidR="004C5661" w:rsidRPr="0089630F" w:rsidRDefault="004C5661" w:rsidP="000C1DDE">
            <w:pPr>
              <w:pStyle w:val="ListParagraph"/>
              <w:numPr>
                <w:ilvl w:val="0"/>
                <w:numId w:val="25"/>
              </w:numPr>
              <w:spacing w:beforeLines="40" w:before="96" w:afterLines="40" w:after="96" w:line="259" w:lineRule="auto"/>
              <w:jc w:val="both"/>
              <w:rPr>
                <w:rFonts w:ascii="Calibri" w:hAnsi="Calibri" w:cs="Calibri"/>
                <w:sz w:val="20"/>
                <w:szCs w:val="20"/>
                <w:lang w:val="en-GB"/>
              </w:rPr>
            </w:pPr>
            <w:r w:rsidRPr="0089630F">
              <w:rPr>
                <w:rFonts w:ascii="Calibri" w:hAnsi="Calibri" w:cs="Calibri"/>
                <w:sz w:val="20"/>
                <w:szCs w:val="20"/>
                <w:lang w:val="en-GB"/>
              </w:rPr>
              <w:t>health systems</w:t>
            </w:r>
          </w:p>
          <w:p w14:paraId="77C233C3" w14:textId="7A8B16FB" w:rsidR="004C5661" w:rsidRPr="0089630F" w:rsidRDefault="00D05822" w:rsidP="000C1DDE">
            <w:pPr>
              <w:pStyle w:val="ListParagraph"/>
              <w:numPr>
                <w:ilvl w:val="0"/>
                <w:numId w:val="25"/>
              </w:numPr>
              <w:spacing w:beforeLines="40" w:before="96" w:afterLines="40" w:after="96" w:line="259" w:lineRule="auto"/>
              <w:jc w:val="both"/>
              <w:rPr>
                <w:rFonts w:ascii="Calibri" w:hAnsi="Calibri" w:cs="Calibri"/>
                <w:sz w:val="20"/>
                <w:szCs w:val="20"/>
                <w:lang w:val="en-GB"/>
              </w:rPr>
            </w:pPr>
            <w:r w:rsidRPr="0089630F">
              <w:rPr>
                <w:rFonts w:ascii="Calibri" w:hAnsi="Calibri" w:cs="Calibri"/>
                <w:sz w:val="20"/>
                <w:szCs w:val="20"/>
                <w:lang w:val="en-GB"/>
              </w:rPr>
              <w:t>f</w:t>
            </w:r>
            <w:r w:rsidR="004C5661" w:rsidRPr="0089630F">
              <w:rPr>
                <w:rFonts w:ascii="Calibri" w:hAnsi="Calibri" w:cs="Calibri"/>
                <w:sz w:val="20"/>
                <w:szCs w:val="20"/>
                <w:lang w:val="en-GB"/>
              </w:rPr>
              <w:t>ood systems</w:t>
            </w:r>
          </w:p>
          <w:p w14:paraId="3162BCED" w14:textId="7AE0B3C8" w:rsidR="002D7108" w:rsidRPr="0089630F" w:rsidRDefault="002D7108" w:rsidP="000C1DDE">
            <w:pPr>
              <w:pStyle w:val="ListParagraph"/>
              <w:numPr>
                <w:ilvl w:val="0"/>
                <w:numId w:val="25"/>
              </w:numPr>
              <w:spacing w:beforeLines="40" w:before="96" w:afterLines="40" w:after="96" w:line="259" w:lineRule="auto"/>
              <w:jc w:val="both"/>
              <w:rPr>
                <w:rFonts w:ascii="Calibri" w:hAnsi="Calibri" w:cs="Calibri"/>
                <w:sz w:val="20"/>
                <w:szCs w:val="20"/>
                <w:lang w:val="en-GB"/>
              </w:rPr>
            </w:pPr>
            <w:r w:rsidRPr="0089630F">
              <w:rPr>
                <w:rFonts w:ascii="Calibri" w:hAnsi="Calibri" w:cs="Calibri"/>
                <w:sz w:val="20"/>
                <w:szCs w:val="20"/>
                <w:lang w:val="en-GB"/>
              </w:rPr>
              <w:t>water and sanitation systems</w:t>
            </w:r>
          </w:p>
          <w:p w14:paraId="591BEC31" w14:textId="44FD994A" w:rsidR="00D05822" w:rsidRPr="0089630F" w:rsidRDefault="00D05822" w:rsidP="000C1DDE">
            <w:pPr>
              <w:pStyle w:val="ListParagraph"/>
              <w:numPr>
                <w:ilvl w:val="0"/>
                <w:numId w:val="25"/>
              </w:numPr>
              <w:spacing w:beforeLines="40" w:before="96" w:afterLines="40" w:after="96" w:line="259" w:lineRule="auto"/>
              <w:jc w:val="both"/>
              <w:rPr>
                <w:rFonts w:ascii="Calibri" w:hAnsi="Calibri" w:cs="Calibri"/>
                <w:sz w:val="20"/>
                <w:szCs w:val="20"/>
                <w:lang w:val="en-GB"/>
              </w:rPr>
            </w:pPr>
            <w:r w:rsidRPr="0089630F">
              <w:rPr>
                <w:rFonts w:ascii="Calibri" w:hAnsi="Calibri" w:cs="Calibri"/>
                <w:sz w:val="20"/>
                <w:szCs w:val="20"/>
                <w:lang w:val="en-GB"/>
              </w:rPr>
              <w:t>energy systems</w:t>
            </w:r>
          </w:p>
          <w:p w14:paraId="15F587C4" w14:textId="4FEE7A55" w:rsidR="00F24F53" w:rsidRPr="0089630F" w:rsidRDefault="00D05822" w:rsidP="000C1DDE">
            <w:pPr>
              <w:pStyle w:val="ListParagraph"/>
              <w:numPr>
                <w:ilvl w:val="0"/>
                <w:numId w:val="25"/>
              </w:numPr>
              <w:spacing w:beforeLines="40" w:before="96" w:afterLines="40" w:after="96" w:line="259" w:lineRule="auto"/>
              <w:jc w:val="both"/>
              <w:rPr>
                <w:rFonts w:ascii="Calibri" w:hAnsi="Calibri" w:cs="Calibri"/>
                <w:sz w:val="20"/>
                <w:szCs w:val="20"/>
                <w:lang w:val="en-GB"/>
              </w:rPr>
            </w:pPr>
            <w:r w:rsidRPr="0089630F">
              <w:rPr>
                <w:rFonts w:ascii="Calibri" w:hAnsi="Calibri" w:cs="Calibri"/>
                <w:sz w:val="20"/>
                <w:szCs w:val="20"/>
                <w:lang w:val="en-GB"/>
              </w:rPr>
              <w:t>financial systems</w:t>
            </w:r>
          </w:p>
        </w:tc>
      </w:tr>
      <w:tr w:rsidR="00F43D26" w:rsidRPr="0089630F" w14:paraId="228326FD" w14:textId="42264974" w:rsidTr="00CA3EED">
        <w:trPr>
          <w:trHeight w:val="251"/>
          <w:jc w:val="center"/>
        </w:trPr>
        <w:tc>
          <w:tcPr>
            <w:tcW w:w="10201" w:type="dxa"/>
            <w:gridSpan w:val="2"/>
            <w:shd w:val="clear" w:color="auto" w:fill="D9D9D9" w:themeFill="background1" w:themeFillShade="D9"/>
            <w:vAlign w:val="center"/>
          </w:tcPr>
          <w:p w14:paraId="467C1D77" w14:textId="2071FF2F" w:rsidR="00E0226A" w:rsidRPr="0089630F" w:rsidRDefault="00E0226A" w:rsidP="00E0226A">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Risk Assessment, Information and Understanding</w:t>
            </w:r>
            <w:r w:rsidR="00BE414D" w:rsidRPr="0089630F">
              <w:rPr>
                <w:rFonts w:ascii="Calibri" w:hAnsi="Calibri" w:cs="Calibri"/>
                <w:sz w:val="20"/>
                <w:szCs w:val="20"/>
                <w:lang w:val="en-GB"/>
              </w:rPr>
              <w:t xml:space="preserve"> [Section V.B.]</w:t>
            </w:r>
          </w:p>
        </w:tc>
      </w:tr>
      <w:tr w:rsidR="00597073" w:rsidRPr="0089630F" w14:paraId="36FC599E" w14:textId="77777777" w:rsidTr="00CA3EED">
        <w:trPr>
          <w:jc w:val="center"/>
        </w:trPr>
        <w:tc>
          <w:tcPr>
            <w:tcW w:w="562" w:type="dxa"/>
            <w:vAlign w:val="center"/>
          </w:tcPr>
          <w:p w14:paraId="5BF7B94E" w14:textId="4CAF0E9F" w:rsidR="00597073" w:rsidRPr="0089630F" w:rsidRDefault="00BE414D" w:rsidP="00231F2E">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19</w:t>
            </w:r>
          </w:p>
        </w:tc>
        <w:tc>
          <w:tcPr>
            <w:tcW w:w="9639" w:type="dxa"/>
            <w:vAlign w:val="center"/>
          </w:tcPr>
          <w:p w14:paraId="26CD4D48" w14:textId="5B194FEC" w:rsidR="00087CBF" w:rsidRPr="0089630F" w:rsidRDefault="00597073" w:rsidP="00231F2E">
            <w:pPr>
              <w:spacing w:before="120" w:after="120"/>
              <w:jc w:val="both"/>
              <w:rPr>
                <w:rFonts w:ascii="Calibri" w:hAnsi="Calibri" w:cs="Calibri"/>
                <w:sz w:val="20"/>
                <w:szCs w:val="20"/>
                <w:lang w:val="en-GB"/>
              </w:rPr>
            </w:pPr>
            <w:r w:rsidRPr="0089630F">
              <w:rPr>
                <w:rFonts w:ascii="Calibri" w:hAnsi="Calibri" w:cs="Calibri"/>
                <w:sz w:val="20"/>
                <w:szCs w:val="20"/>
                <w:lang w:val="en-GB"/>
              </w:rPr>
              <w:t>How can risk knowledge and insight</w:t>
            </w:r>
            <w:r w:rsidR="00624CB7" w:rsidRPr="0089630F">
              <w:rPr>
                <w:rFonts w:ascii="Calibri" w:hAnsi="Calibri" w:cs="Calibri"/>
                <w:sz w:val="20"/>
                <w:szCs w:val="20"/>
                <w:lang w:val="en-GB"/>
              </w:rPr>
              <w:t xml:space="preserve"> be improved?</w:t>
            </w:r>
            <w:r w:rsidRPr="0089630F">
              <w:rPr>
                <w:rFonts w:ascii="Calibri" w:hAnsi="Calibri" w:cs="Calibri"/>
                <w:sz w:val="20"/>
                <w:szCs w:val="20"/>
                <w:lang w:val="en-GB"/>
              </w:rPr>
              <w:t xml:space="preserve"> – including in improving understanding of the systemic and interconnected nature of risk</w:t>
            </w:r>
          </w:p>
          <w:p w14:paraId="71E74703" w14:textId="7E153E11" w:rsidR="00087CBF" w:rsidRPr="0089630F" w:rsidRDefault="00087CBF" w:rsidP="00087CBF">
            <w:pPr>
              <w:spacing w:beforeLines="40" w:before="96" w:afterLines="40" w:after="96"/>
              <w:jc w:val="both"/>
              <w:rPr>
                <w:rFonts w:ascii="Calibri" w:hAnsi="Calibri" w:cs="Calibri"/>
                <w:sz w:val="20"/>
                <w:szCs w:val="20"/>
                <w:lang w:val="en-GB"/>
              </w:rPr>
            </w:pPr>
            <w:r w:rsidRPr="0089630F">
              <w:rPr>
                <w:rFonts w:ascii="Calibri" w:hAnsi="Calibri" w:cs="Calibri"/>
                <w:i/>
                <w:iCs/>
                <w:sz w:val="20"/>
                <w:szCs w:val="20"/>
                <w:u w:val="single"/>
                <w:lang w:val="en-GB"/>
              </w:rPr>
              <w:t>Probing Question</w:t>
            </w:r>
            <w:r w:rsidRPr="0089630F">
              <w:rPr>
                <w:rFonts w:ascii="Calibri" w:hAnsi="Calibri" w:cs="Calibri"/>
                <w:sz w:val="20"/>
                <w:szCs w:val="20"/>
                <w:lang w:val="en-GB"/>
              </w:rPr>
              <w:t>:</w:t>
            </w:r>
          </w:p>
          <w:p w14:paraId="2884B3E6" w14:textId="77777777" w:rsidR="00597073" w:rsidRPr="0089630F" w:rsidRDefault="00087CBF" w:rsidP="000C1DDE">
            <w:pPr>
              <w:pStyle w:val="ListParagraph"/>
              <w:numPr>
                <w:ilvl w:val="0"/>
                <w:numId w:val="26"/>
              </w:numPr>
              <w:spacing w:beforeLines="40" w:before="96" w:afterLines="40" w:after="96" w:line="259" w:lineRule="auto"/>
              <w:jc w:val="both"/>
              <w:rPr>
                <w:rFonts w:ascii="Calibri" w:hAnsi="Calibri" w:cs="Calibri"/>
                <w:sz w:val="20"/>
                <w:szCs w:val="20"/>
                <w:lang w:val="en-GB"/>
              </w:rPr>
            </w:pPr>
            <w:r w:rsidRPr="0089630F">
              <w:rPr>
                <w:rFonts w:ascii="Calibri" w:hAnsi="Calibri" w:cs="Calibri"/>
                <w:sz w:val="20"/>
                <w:szCs w:val="20"/>
                <w:lang w:val="en-GB"/>
              </w:rPr>
              <w:t>What measures can be take</w:t>
            </w:r>
            <w:r w:rsidR="00073E6F" w:rsidRPr="0089630F">
              <w:rPr>
                <w:rFonts w:ascii="Calibri" w:hAnsi="Calibri" w:cs="Calibri"/>
                <w:sz w:val="20"/>
                <w:szCs w:val="20"/>
                <w:lang w:val="en-GB"/>
              </w:rPr>
              <w:t>n</w:t>
            </w:r>
            <w:r w:rsidRPr="0089630F">
              <w:rPr>
                <w:rFonts w:ascii="Calibri" w:hAnsi="Calibri" w:cs="Calibri"/>
                <w:sz w:val="20"/>
                <w:szCs w:val="20"/>
                <w:lang w:val="en-GB"/>
              </w:rPr>
              <w:t xml:space="preserve"> to ensure that this is systematically integrated in all decision-making?</w:t>
            </w:r>
          </w:p>
          <w:p w14:paraId="498CBB5A" w14:textId="13536CCF" w:rsidR="002B0103" w:rsidRPr="0089630F" w:rsidRDefault="002B0103" w:rsidP="000C1DDE">
            <w:pPr>
              <w:pStyle w:val="ListParagraph"/>
              <w:numPr>
                <w:ilvl w:val="0"/>
                <w:numId w:val="26"/>
              </w:numPr>
              <w:spacing w:beforeLines="40" w:before="96" w:afterLines="40" w:after="96" w:line="259" w:lineRule="auto"/>
              <w:jc w:val="both"/>
              <w:rPr>
                <w:rFonts w:ascii="Calibri" w:hAnsi="Calibri" w:cs="Calibri"/>
                <w:sz w:val="20"/>
                <w:szCs w:val="20"/>
                <w:lang w:val="en-GB"/>
              </w:rPr>
            </w:pPr>
            <w:r w:rsidRPr="0089630F">
              <w:rPr>
                <w:rFonts w:ascii="Calibri" w:hAnsi="Calibri" w:cs="Calibri"/>
                <w:sz w:val="20"/>
                <w:szCs w:val="20"/>
                <w:lang w:val="en-GB"/>
              </w:rPr>
              <w:t>How can indigenous wisdom and traditional / local knowledge be more systematically included in generating risk knowledge?</w:t>
            </w:r>
          </w:p>
        </w:tc>
      </w:tr>
    </w:tbl>
    <w:p w14:paraId="0E2AB45E" w14:textId="77777777" w:rsidR="00CA3EED" w:rsidRDefault="00CA3EED">
      <w:r>
        <w:br w:type="page"/>
      </w:r>
    </w:p>
    <w:tbl>
      <w:tblPr>
        <w:tblStyle w:val="TableGrid"/>
        <w:tblW w:w="10201" w:type="dxa"/>
        <w:jc w:val="center"/>
        <w:tblLayout w:type="fixed"/>
        <w:tblLook w:val="04A0" w:firstRow="1" w:lastRow="0" w:firstColumn="1" w:lastColumn="0" w:noHBand="0" w:noVBand="1"/>
      </w:tblPr>
      <w:tblGrid>
        <w:gridCol w:w="562"/>
        <w:gridCol w:w="9639"/>
      </w:tblGrid>
      <w:tr w:rsidR="00F43D26" w:rsidRPr="0089630F" w14:paraId="6CD7D6E5" w14:textId="77777777" w:rsidTr="00CA3EED">
        <w:trPr>
          <w:trHeight w:val="251"/>
          <w:jc w:val="center"/>
        </w:trPr>
        <w:tc>
          <w:tcPr>
            <w:tcW w:w="10201" w:type="dxa"/>
            <w:gridSpan w:val="2"/>
            <w:shd w:val="clear" w:color="auto" w:fill="D9D9D9" w:themeFill="background1" w:themeFillShade="D9"/>
            <w:vAlign w:val="center"/>
          </w:tcPr>
          <w:p w14:paraId="3FF9CA6F" w14:textId="42CEAF5F" w:rsidR="00E0226A" w:rsidRPr="0089630F" w:rsidRDefault="00E0226A" w:rsidP="00E0226A">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lastRenderedPageBreak/>
              <w:t>Risk Governance and Management</w:t>
            </w:r>
            <w:r w:rsidR="00BE414D" w:rsidRPr="0089630F">
              <w:rPr>
                <w:rFonts w:ascii="Calibri" w:hAnsi="Calibri" w:cs="Calibri"/>
                <w:sz w:val="20"/>
                <w:szCs w:val="20"/>
                <w:lang w:val="en-GB"/>
              </w:rPr>
              <w:t xml:space="preserve"> [Section V.C.]</w:t>
            </w:r>
          </w:p>
        </w:tc>
      </w:tr>
      <w:tr w:rsidR="00F43D26" w:rsidRPr="0089630F" w14:paraId="20040015" w14:textId="77777777" w:rsidTr="00CA3EED">
        <w:trPr>
          <w:jc w:val="center"/>
        </w:trPr>
        <w:tc>
          <w:tcPr>
            <w:tcW w:w="562" w:type="dxa"/>
            <w:vAlign w:val="center"/>
          </w:tcPr>
          <w:p w14:paraId="63CC2A95" w14:textId="4DCA3E2B" w:rsidR="00E0226A" w:rsidRPr="0089630F" w:rsidRDefault="00BE414D" w:rsidP="00E0226A">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20</w:t>
            </w:r>
          </w:p>
        </w:tc>
        <w:tc>
          <w:tcPr>
            <w:tcW w:w="9639" w:type="dxa"/>
            <w:vAlign w:val="center"/>
          </w:tcPr>
          <w:p w14:paraId="2AB9556F" w14:textId="17CEE2C7" w:rsidR="00E0226A" w:rsidRPr="0089630F" w:rsidRDefault="00E0226A" w:rsidP="00E0226A">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 xml:space="preserve">Given the systemic nature of risk, and experiences of the ongoing COVID-19 pandemic (including cascading, indirect impacts), what adjustments are required in policy, regulatory and legislative frameworks, organisation and investment, </w:t>
            </w:r>
            <w:r w:rsidR="00817BC7" w:rsidRPr="0089630F">
              <w:rPr>
                <w:rFonts w:ascii="Calibri" w:hAnsi="Calibri" w:cs="Calibri"/>
                <w:sz w:val="20"/>
                <w:szCs w:val="20"/>
                <w:lang w:val="en-GB"/>
              </w:rPr>
              <w:t>epistemology,</w:t>
            </w:r>
            <w:r w:rsidRPr="0089630F">
              <w:rPr>
                <w:rFonts w:ascii="Calibri" w:hAnsi="Calibri" w:cs="Calibri"/>
                <w:sz w:val="20"/>
                <w:szCs w:val="20"/>
                <w:lang w:val="en-GB"/>
              </w:rPr>
              <w:t xml:space="preserve"> and strategy, to be able to capitalise on opportunities, or to mitigate new / emerging threats to the achievement of the expected outcome and goal of the Sendai Framework?</w:t>
            </w:r>
          </w:p>
          <w:p w14:paraId="55961801" w14:textId="047E9051" w:rsidR="0071259A" w:rsidRPr="0089630F" w:rsidRDefault="0071259A" w:rsidP="0071259A">
            <w:pPr>
              <w:spacing w:beforeLines="40" w:before="96" w:afterLines="40" w:after="96"/>
              <w:jc w:val="both"/>
              <w:rPr>
                <w:rFonts w:ascii="Calibri" w:hAnsi="Calibri" w:cs="Calibri"/>
                <w:sz w:val="20"/>
                <w:szCs w:val="20"/>
                <w:lang w:val="en-GB"/>
              </w:rPr>
            </w:pPr>
            <w:r w:rsidRPr="0089630F">
              <w:rPr>
                <w:rFonts w:ascii="Calibri" w:hAnsi="Calibri" w:cs="Calibri"/>
                <w:i/>
                <w:iCs/>
                <w:sz w:val="20"/>
                <w:szCs w:val="20"/>
                <w:u w:val="single"/>
                <w:lang w:val="en-GB"/>
              </w:rPr>
              <w:t>Probing Question</w:t>
            </w:r>
            <w:r w:rsidR="000B377F" w:rsidRPr="0089630F">
              <w:rPr>
                <w:rFonts w:ascii="Calibri" w:hAnsi="Calibri" w:cs="Calibri"/>
                <w:i/>
                <w:iCs/>
                <w:sz w:val="20"/>
                <w:szCs w:val="20"/>
                <w:u w:val="single"/>
                <w:lang w:val="en-GB"/>
              </w:rPr>
              <w:t>s</w:t>
            </w:r>
            <w:r w:rsidRPr="0089630F">
              <w:rPr>
                <w:rFonts w:ascii="Calibri" w:hAnsi="Calibri" w:cs="Calibri"/>
                <w:sz w:val="20"/>
                <w:szCs w:val="20"/>
                <w:lang w:val="en-GB"/>
              </w:rPr>
              <w:t>:</w:t>
            </w:r>
          </w:p>
          <w:p w14:paraId="7BF27B05" w14:textId="77777777" w:rsidR="0071259A" w:rsidRPr="0089630F" w:rsidRDefault="0071259A" w:rsidP="000C1DDE">
            <w:pPr>
              <w:pStyle w:val="ListParagraph"/>
              <w:numPr>
                <w:ilvl w:val="0"/>
                <w:numId w:val="27"/>
              </w:numPr>
              <w:spacing w:beforeLines="40" w:before="96" w:afterLines="40" w:after="96" w:line="259" w:lineRule="auto"/>
              <w:jc w:val="both"/>
              <w:rPr>
                <w:rFonts w:ascii="Calibri" w:hAnsi="Calibri" w:cs="Calibri"/>
                <w:sz w:val="20"/>
                <w:szCs w:val="20"/>
                <w:lang w:val="en-GB"/>
              </w:rPr>
            </w:pPr>
            <w:r w:rsidRPr="0089630F">
              <w:rPr>
                <w:rFonts w:ascii="Calibri" w:hAnsi="Calibri" w:cs="Calibri"/>
                <w:sz w:val="20"/>
                <w:szCs w:val="20"/>
                <w:lang w:val="en-GB"/>
              </w:rPr>
              <w:t>at the national level?</w:t>
            </w:r>
          </w:p>
          <w:p w14:paraId="1174AAC2" w14:textId="2855FE10" w:rsidR="0071259A" w:rsidRPr="0089630F" w:rsidRDefault="002D1D21" w:rsidP="000C1DDE">
            <w:pPr>
              <w:pStyle w:val="ListParagraph"/>
              <w:numPr>
                <w:ilvl w:val="0"/>
                <w:numId w:val="27"/>
              </w:numPr>
              <w:spacing w:beforeLines="40" w:before="96" w:afterLines="40" w:after="96" w:line="259" w:lineRule="auto"/>
              <w:jc w:val="both"/>
              <w:rPr>
                <w:rFonts w:ascii="Calibri" w:hAnsi="Calibri" w:cs="Calibri"/>
                <w:sz w:val="20"/>
                <w:szCs w:val="20"/>
                <w:lang w:val="en-GB"/>
              </w:rPr>
            </w:pPr>
            <w:r w:rsidRPr="0089630F">
              <w:rPr>
                <w:rFonts w:ascii="Calibri" w:hAnsi="Calibri" w:cs="Calibri"/>
                <w:sz w:val="20"/>
                <w:szCs w:val="20"/>
                <w:lang w:val="en-GB"/>
              </w:rPr>
              <w:t>a</w:t>
            </w:r>
            <w:r w:rsidR="0071259A" w:rsidRPr="0089630F">
              <w:rPr>
                <w:rFonts w:ascii="Calibri" w:hAnsi="Calibri" w:cs="Calibri"/>
                <w:sz w:val="20"/>
                <w:szCs w:val="20"/>
                <w:lang w:val="en-GB"/>
              </w:rPr>
              <w:t>t the local level?</w:t>
            </w:r>
          </w:p>
          <w:p w14:paraId="51B5070E" w14:textId="5D0B89BA" w:rsidR="002D1D21" w:rsidRPr="0089630F" w:rsidRDefault="002D1D21" w:rsidP="000C1DDE">
            <w:pPr>
              <w:pStyle w:val="ListParagraph"/>
              <w:numPr>
                <w:ilvl w:val="0"/>
                <w:numId w:val="27"/>
              </w:numPr>
              <w:spacing w:beforeLines="40" w:before="96" w:afterLines="40" w:after="96" w:line="259" w:lineRule="auto"/>
              <w:jc w:val="both"/>
              <w:rPr>
                <w:rFonts w:ascii="Calibri" w:hAnsi="Calibri" w:cs="Calibri"/>
                <w:sz w:val="20"/>
                <w:szCs w:val="20"/>
                <w:lang w:val="en-GB"/>
              </w:rPr>
            </w:pPr>
            <w:r w:rsidRPr="0089630F">
              <w:rPr>
                <w:rFonts w:ascii="Calibri" w:hAnsi="Calibri" w:cs="Calibri"/>
                <w:sz w:val="20"/>
                <w:szCs w:val="20"/>
                <w:lang w:val="en-GB"/>
              </w:rPr>
              <w:t>at the regional level?</w:t>
            </w:r>
          </w:p>
          <w:p w14:paraId="3906F654" w14:textId="77777777" w:rsidR="00AF1484" w:rsidRPr="0089630F" w:rsidRDefault="002D1D21" w:rsidP="000C1DDE">
            <w:pPr>
              <w:pStyle w:val="ListParagraph"/>
              <w:numPr>
                <w:ilvl w:val="0"/>
                <w:numId w:val="27"/>
              </w:numPr>
              <w:spacing w:beforeLines="40" w:before="96" w:afterLines="40" w:after="96" w:line="259" w:lineRule="auto"/>
              <w:jc w:val="both"/>
              <w:rPr>
                <w:rFonts w:ascii="Calibri" w:hAnsi="Calibri" w:cs="Calibri"/>
                <w:sz w:val="20"/>
                <w:szCs w:val="20"/>
                <w:lang w:val="en-GB"/>
              </w:rPr>
            </w:pPr>
            <w:r w:rsidRPr="0089630F">
              <w:rPr>
                <w:rFonts w:ascii="Calibri" w:hAnsi="Calibri" w:cs="Calibri"/>
                <w:sz w:val="20"/>
                <w:szCs w:val="20"/>
                <w:lang w:val="en-GB"/>
              </w:rPr>
              <w:t xml:space="preserve">at the </w:t>
            </w:r>
            <w:r w:rsidR="0071259A" w:rsidRPr="0089630F">
              <w:rPr>
                <w:rFonts w:ascii="Calibri" w:hAnsi="Calibri" w:cs="Calibri"/>
                <w:sz w:val="20"/>
                <w:szCs w:val="20"/>
                <w:lang w:val="en-GB"/>
              </w:rPr>
              <w:t xml:space="preserve">international </w:t>
            </w:r>
            <w:r w:rsidRPr="0089630F">
              <w:rPr>
                <w:rFonts w:ascii="Calibri" w:hAnsi="Calibri" w:cs="Calibri"/>
                <w:sz w:val="20"/>
                <w:szCs w:val="20"/>
                <w:lang w:val="en-GB"/>
              </w:rPr>
              <w:t>level?</w:t>
            </w:r>
          </w:p>
          <w:p w14:paraId="2A8A8B05" w14:textId="2FBA6A7B" w:rsidR="005E5735" w:rsidRPr="0089630F" w:rsidRDefault="001858F2" w:rsidP="000C1DDE">
            <w:pPr>
              <w:pStyle w:val="ListParagraph"/>
              <w:numPr>
                <w:ilvl w:val="0"/>
                <w:numId w:val="27"/>
              </w:numPr>
              <w:spacing w:beforeLines="40" w:before="96" w:afterLines="40" w:after="96" w:line="259" w:lineRule="auto"/>
              <w:jc w:val="both"/>
              <w:rPr>
                <w:rFonts w:ascii="Calibri" w:hAnsi="Calibri" w:cs="Calibri"/>
                <w:sz w:val="20"/>
                <w:szCs w:val="20"/>
                <w:lang w:val="en-GB"/>
              </w:rPr>
            </w:pPr>
            <w:r w:rsidRPr="0089630F">
              <w:rPr>
                <w:rFonts w:ascii="Calibri" w:hAnsi="Calibri" w:cs="Calibri"/>
                <w:sz w:val="20"/>
                <w:szCs w:val="20"/>
                <w:lang w:val="en-GB"/>
              </w:rPr>
              <w:t>within specific systems or domains?</w:t>
            </w:r>
          </w:p>
        </w:tc>
      </w:tr>
      <w:tr w:rsidR="00F43D26" w:rsidRPr="0089630F" w14:paraId="545D9346" w14:textId="77777777" w:rsidTr="00CA3EED">
        <w:trPr>
          <w:jc w:val="center"/>
        </w:trPr>
        <w:tc>
          <w:tcPr>
            <w:tcW w:w="562" w:type="dxa"/>
            <w:vAlign w:val="center"/>
          </w:tcPr>
          <w:p w14:paraId="4BD9E69A" w14:textId="75715AEA" w:rsidR="00E0226A" w:rsidRPr="0089630F" w:rsidRDefault="00BE414D" w:rsidP="00E0226A">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21</w:t>
            </w:r>
          </w:p>
        </w:tc>
        <w:tc>
          <w:tcPr>
            <w:tcW w:w="9639" w:type="dxa"/>
            <w:vAlign w:val="center"/>
          </w:tcPr>
          <w:p w14:paraId="0452E741" w14:textId="77777777" w:rsidR="00E0226A" w:rsidRPr="0089630F" w:rsidRDefault="005002D7" w:rsidP="005C7357">
            <w:pPr>
              <w:spacing w:before="120" w:after="120"/>
              <w:jc w:val="both"/>
              <w:rPr>
                <w:rFonts w:ascii="Calibri" w:hAnsi="Calibri" w:cs="Calibri"/>
                <w:sz w:val="20"/>
                <w:szCs w:val="20"/>
                <w:lang w:val="en-GB"/>
              </w:rPr>
            </w:pPr>
            <w:r w:rsidRPr="0089630F">
              <w:rPr>
                <w:rFonts w:ascii="Calibri" w:hAnsi="Calibri" w:cs="Calibri"/>
                <w:sz w:val="20"/>
                <w:szCs w:val="20"/>
                <w:lang w:val="en-GB"/>
              </w:rPr>
              <w:t>The Sendai Framework states that</w:t>
            </w:r>
            <w:r w:rsidR="00CF3029" w:rsidRPr="0089630F">
              <w:rPr>
                <w:rFonts w:ascii="Calibri" w:hAnsi="Calibri" w:cs="Calibri"/>
                <w:sz w:val="20"/>
                <w:szCs w:val="20"/>
                <w:lang w:val="en-GB"/>
              </w:rPr>
              <w:t xml:space="preserve"> responsibilities for disaster risk reduction are shared</w:t>
            </w:r>
            <w:r w:rsidR="005C7357" w:rsidRPr="0089630F">
              <w:rPr>
                <w:rFonts w:ascii="Calibri" w:hAnsi="Calibri" w:cs="Calibri"/>
                <w:sz w:val="20"/>
                <w:szCs w:val="20"/>
                <w:lang w:val="en-GB"/>
              </w:rPr>
              <w:t xml:space="preserve"> by </w:t>
            </w:r>
            <w:r w:rsidR="0000222B" w:rsidRPr="0089630F">
              <w:rPr>
                <w:rFonts w:ascii="Calibri" w:hAnsi="Calibri" w:cs="Calibri"/>
                <w:sz w:val="20"/>
                <w:szCs w:val="20"/>
                <w:lang w:val="en-GB"/>
              </w:rPr>
              <w:t>central Governments and relevant national authorities</w:t>
            </w:r>
            <w:r w:rsidR="005C7357" w:rsidRPr="0089630F">
              <w:rPr>
                <w:rFonts w:ascii="Calibri" w:hAnsi="Calibri" w:cs="Calibri"/>
                <w:sz w:val="20"/>
                <w:szCs w:val="20"/>
                <w:lang w:val="en-GB"/>
              </w:rPr>
              <w:t>,</w:t>
            </w:r>
            <w:r w:rsidR="0000222B" w:rsidRPr="0089630F">
              <w:rPr>
                <w:rFonts w:ascii="Calibri" w:hAnsi="Calibri" w:cs="Calibri"/>
                <w:sz w:val="20"/>
                <w:szCs w:val="20"/>
                <w:lang w:val="en-GB"/>
              </w:rPr>
              <w:t xml:space="preserve"> sectors</w:t>
            </w:r>
            <w:r w:rsidR="005C7357" w:rsidRPr="0089630F">
              <w:rPr>
                <w:rFonts w:ascii="Calibri" w:hAnsi="Calibri" w:cs="Calibri"/>
                <w:sz w:val="20"/>
                <w:szCs w:val="20"/>
                <w:lang w:val="en-GB"/>
              </w:rPr>
              <w:t xml:space="preserve"> and stakeholders. What must be prioritised to ensure that responsibilities are shared in risk identification and </w:t>
            </w:r>
            <w:r w:rsidR="008868BD" w:rsidRPr="0089630F">
              <w:rPr>
                <w:rFonts w:ascii="Calibri" w:hAnsi="Calibri" w:cs="Calibri"/>
                <w:sz w:val="20"/>
                <w:szCs w:val="20"/>
                <w:lang w:val="en-GB"/>
              </w:rPr>
              <w:t>reduction?</w:t>
            </w:r>
          </w:p>
          <w:p w14:paraId="47264CD7" w14:textId="77777777" w:rsidR="000B377F" w:rsidRPr="0089630F" w:rsidRDefault="000B377F" w:rsidP="000B377F">
            <w:pPr>
              <w:spacing w:beforeLines="40" w:before="96" w:afterLines="40" w:after="96"/>
              <w:jc w:val="both"/>
              <w:rPr>
                <w:rFonts w:ascii="Calibri" w:hAnsi="Calibri" w:cs="Calibri"/>
                <w:sz w:val="20"/>
                <w:szCs w:val="20"/>
                <w:lang w:val="en-GB"/>
              </w:rPr>
            </w:pPr>
            <w:r w:rsidRPr="0089630F">
              <w:rPr>
                <w:rFonts w:ascii="Calibri" w:hAnsi="Calibri" w:cs="Calibri"/>
                <w:i/>
                <w:iCs/>
                <w:sz w:val="20"/>
                <w:szCs w:val="20"/>
                <w:u w:val="single"/>
                <w:lang w:val="en-GB"/>
              </w:rPr>
              <w:t>Probing Questions</w:t>
            </w:r>
            <w:r w:rsidRPr="0089630F">
              <w:rPr>
                <w:rFonts w:ascii="Calibri" w:hAnsi="Calibri" w:cs="Calibri"/>
                <w:sz w:val="20"/>
                <w:szCs w:val="20"/>
                <w:lang w:val="en-GB"/>
              </w:rPr>
              <w:t>:</w:t>
            </w:r>
          </w:p>
          <w:p w14:paraId="1C9B227D" w14:textId="77777777" w:rsidR="000B377F" w:rsidRPr="0089630F" w:rsidRDefault="00353849" w:rsidP="000C1DDE">
            <w:pPr>
              <w:pStyle w:val="ListParagraph"/>
              <w:numPr>
                <w:ilvl w:val="0"/>
                <w:numId w:val="28"/>
              </w:numPr>
              <w:spacing w:beforeLines="40" w:before="96" w:afterLines="40" w:after="96" w:line="259" w:lineRule="auto"/>
              <w:jc w:val="both"/>
              <w:rPr>
                <w:rFonts w:ascii="Calibri" w:hAnsi="Calibri" w:cs="Calibri"/>
                <w:sz w:val="20"/>
                <w:szCs w:val="20"/>
                <w:lang w:val="en-GB"/>
              </w:rPr>
            </w:pPr>
            <w:r w:rsidRPr="0089630F">
              <w:rPr>
                <w:rFonts w:ascii="Calibri" w:hAnsi="Calibri" w:cs="Calibri"/>
                <w:sz w:val="20"/>
                <w:szCs w:val="20"/>
                <w:lang w:val="en-GB"/>
              </w:rPr>
              <w:t>What is required to promote women’s empowerment and leadership in disaster risk reduction?</w:t>
            </w:r>
          </w:p>
          <w:p w14:paraId="0EA3256B" w14:textId="77777777" w:rsidR="000B377F" w:rsidRPr="0089630F" w:rsidRDefault="000B377F" w:rsidP="000C1DDE">
            <w:pPr>
              <w:pStyle w:val="ListParagraph"/>
              <w:numPr>
                <w:ilvl w:val="0"/>
                <w:numId w:val="28"/>
              </w:numPr>
              <w:spacing w:beforeLines="40" w:before="96" w:afterLines="40" w:after="96" w:line="259" w:lineRule="auto"/>
              <w:jc w:val="both"/>
              <w:rPr>
                <w:rFonts w:ascii="Calibri" w:hAnsi="Calibri" w:cs="Calibri"/>
                <w:sz w:val="20"/>
                <w:szCs w:val="20"/>
                <w:lang w:val="en-GB"/>
              </w:rPr>
            </w:pPr>
            <w:r w:rsidRPr="0089630F">
              <w:rPr>
                <w:rFonts w:ascii="Calibri" w:hAnsi="Calibri" w:cs="Calibri"/>
                <w:sz w:val="20"/>
                <w:szCs w:val="20"/>
                <w:lang w:val="en-GB"/>
              </w:rPr>
              <w:t>What measures can be taken to ensure that ‘no one is left behind’?</w:t>
            </w:r>
          </w:p>
          <w:p w14:paraId="017082FB" w14:textId="0CBBE043" w:rsidR="002A1D71" w:rsidRPr="0089630F" w:rsidRDefault="000B377F" w:rsidP="000C1DDE">
            <w:pPr>
              <w:pStyle w:val="ListParagraph"/>
              <w:numPr>
                <w:ilvl w:val="0"/>
                <w:numId w:val="28"/>
              </w:numPr>
              <w:spacing w:beforeLines="40" w:before="96" w:afterLines="40" w:after="96" w:line="259" w:lineRule="auto"/>
              <w:jc w:val="both"/>
              <w:rPr>
                <w:rFonts w:ascii="Calibri" w:hAnsi="Calibri" w:cs="Calibri"/>
                <w:sz w:val="20"/>
                <w:szCs w:val="20"/>
                <w:lang w:val="en-GB"/>
              </w:rPr>
            </w:pPr>
            <w:r w:rsidRPr="0089630F">
              <w:rPr>
                <w:rFonts w:ascii="Calibri" w:hAnsi="Calibri" w:cs="Calibri"/>
                <w:sz w:val="20"/>
                <w:szCs w:val="20"/>
                <w:lang w:val="en-GB"/>
              </w:rPr>
              <w:t>What measures can be taken to ensure that ‘no ecosystem is left behind’?</w:t>
            </w:r>
          </w:p>
        </w:tc>
      </w:tr>
      <w:tr w:rsidR="00F43D26" w:rsidRPr="0089630F" w14:paraId="1E5BB63B" w14:textId="77777777" w:rsidTr="00CA3EED">
        <w:trPr>
          <w:jc w:val="center"/>
        </w:trPr>
        <w:tc>
          <w:tcPr>
            <w:tcW w:w="562" w:type="dxa"/>
            <w:vAlign w:val="center"/>
          </w:tcPr>
          <w:p w14:paraId="6C5BB288" w14:textId="18B9B0C8" w:rsidR="00E0226A" w:rsidRPr="0089630F" w:rsidRDefault="00BE414D" w:rsidP="00E0226A">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22</w:t>
            </w:r>
          </w:p>
        </w:tc>
        <w:tc>
          <w:tcPr>
            <w:tcW w:w="9639" w:type="dxa"/>
            <w:vAlign w:val="center"/>
          </w:tcPr>
          <w:p w14:paraId="14DD0B9D" w14:textId="327E4B0B" w:rsidR="00E0226A" w:rsidRPr="0089630F" w:rsidRDefault="00E0226A" w:rsidP="00E0226A">
            <w:pPr>
              <w:spacing w:before="120" w:after="120"/>
              <w:jc w:val="both"/>
              <w:rPr>
                <w:rFonts w:ascii="Calibri" w:hAnsi="Calibri" w:cs="Calibri"/>
                <w:sz w:val="20"/>
                <w:szCs w:val="20"/>
                <w:lang w:val="en-GB"/>
              </w:rPr>
            </w:pPr>
            <w:r w:rsidRPr="0089630F">
              <w:rPr>
                <w:rFonts w:ascii="Calibri" w:hAnsi="Calibri" w:cs="Calibri"/>
                <w:sz w:val="20"/>
                <w:szCs w:val="20"/>
                <w:lang w:val="en-GB"/>
              </w:rPr>
              <w:t>What priority actions can be taken to empower local authorities and local partnerships to strengthen risk reducing action at the subnational and local levels?</w:t>
            </w:r>
          </w:p>
        </w:tc>
      </w:tr>
      <w:tr w:rsidR="00F43D26" w:rsidRPr="0089630F" w14:paraId="35D2FA44" w14:textId="77777777" w:rsidTr="00CA3EED">
        <w:trPr>
          <w:jc w:val="center"/>
        </w:trPr>
        <w:tc>
          <w:tcPr>
            <w:tcW w:w="562" w:type="dxa"/>
            <w:vAlign w:val="center"/>
          </w:tcPr>
          <w:p w14:paraId="67427AD0" w14:textId="26BFA02E" w:rsidR="00E0226A" w:rsidRPr="0089630F" w:rsidRDefault="00BE414D" w:rsidP="00E0226A">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23</w:t>
            </w:r>
          </w:p>
        </w:tc>
        <w:tc>
          <w:tcPr>
            <w:tcW w:w="9639" w:type="dxa"/>
            <w:vAlign w:val="center"/>
          </w:tcPr>
          <w:p w14:paraId="7C6E7D89" w14:textId="14935694" w:rsidR="00E0226A" w:rsidRPr="0089630F" w:rsidRDefault="00E0226A" w:rsidP="00E0226A">
            <w:pPr>
              <w:spacing w:before="120" w:after="120"/>
              <w:jc w:val="both"/>
              <w:rPr>
                <w:rFonts w:ascii="Calibri" w:hAnsi="Calibri" w:cs="Calibri"/>
                <w:sz w:val="20"/>
                <w:szCs w:val="20"/>
                <w:lang w:val="en-GB"/>
              </w:rPr>
            </w:pPr>
            <w:r w:rsidRPr="0089630F">
              <w:rPr>
                <w:rFonts w:ascii="Calibri" w:hAnsi="Calibri" w:cs="Calibri"/>
                <w:sz w:val="20"/>
                <w:szCs w:val="20"/>
                <w:lang w:val="en-GB"/>
              </w:rPr>
              <w:t xml:space="preserve">What are the adjustments or key measures that must be taken to ensure that disaster risk management is no longer treated as a </w:t>
            </w:r>
            <w:proofErr w:type="gramStart"/>
            <w:r w:rsidRPr="0089630F">
              <w:rPr>
                <w:rFonts w:ascii="Calibri" w:hAnsi="Calibri" w:cs="Calibri"/>
                <w:sz w:val="20"/>
                <w:szCs w:val="20"/>
                <w:lang w:val="en-GB"/>
              </w:rPr>
              <w:t>‘sector’</w:t>
            </w:r>
            <w:r w:rsidRPr="0089630F">
              <w:rPr>
                <w:rFonts w:ascii="Calibri" w:hAnsi="Calibri" w:cs="Calibri"/>
                <w:spacing w:val="-4"/>
                <w:sz w:val="20"/>
                <w:szCs w:val="20"/>
                <w:lang w:val="en-GB"/>
              </w:rPr>
              <w:t xml:space="preserve"> </w:t>
            </w:r>
            <w:r w:rsidRPr="0089630F">
              <w:rPr>
                <w:rFonts w:ascii="Calibri" w:hAnsi="Calibri" w:cs="Calibri"/>
                <w:sz w:val="20"/>
                <w:szCs w:val="20"/>
                <w:lang w:val="en-GB"/>
              </w:rPr>
              <w:t>in</w:t>
            </w:r>
            <w:r w:rsidRPr="0089630F">
              <w:rPr>
                <w:rFonts w:ascii="Calibri" w:hAnsi="Calibri" w:cs="Calibri"/>
                <w:spacing w:val="-4"/>
                <w:sz w:val="20"/>
                <w:szCs w:val="20"/>
                <w:lang w:val="en-GB"/>
              </w:rPr>
              <w:t xml:space="preserve"> </w:t>
            </w:r>
            <w:r w:rsidRPr="0089630F">
              <w:rPr>
                <w:rFonts w:ascii="Calibri" w:hAnsi="Calibri" w:cs="Calibri"/>
                <w:sz w:val="20"/>
                <w:szCs w:val="20"/>
                <w:lang w:val="en-GB"/>
              </w:rPr>
              <w:t>itself, but</w:t>
            </w:r>
            <w:proofErr w:type="gramEnd"/>
            <w:r w:rsidRPr="0089630F">
              <w:rPr>
                <w:rFonts w:ascii="Calibri" w:hAnsi="Calibri" w:cs="Calibri"/>
                <w:sz w:val="20"/>
                <w:szCs w:val="20"/>
                <w:lang w:val="en-GB"/>
              </w:rPr>
              <w:t xml:space="preserve"> is a</w:t>
            </w:r>
            <w:r w:rsidRPr="0089630F">
              <w:rPr>
                <w:rFonts w:ascii="Calibri" w:hAnsi="Calibri" w:cs="Calibri"/>
                <w:spacing w:val="-3"/>
                <w:sz w:val="20"/>
                <w:szCs w:val="20"/>
                <w:lang w:val="en-GB"/>
              </w:rPr>
              <w:t xml:space="preserve"> </w:t>
            </w:r>
            <w:r w:rsidRPr="0089630F">
              <w:rPr>
                <w:rFonts w:ascii="Calibri" w:hAnsi="Calibri" w:cs="Calibri"/>
                <w:sz w:val="20"/>
                <w:szCs w:val="20"/>
                <w:lang w:val="en-GB"/>
              </w:rPr>
              <w:t>practice</w:t>
            </w:r>
            <w:r w:rsidRPr="0089630F">
              <w:rPr>
                <w:rFonts w:ascii="Calibri" w:hAnsi="Calibri" w:cs="Calibri"/>
                <w:spacing w:val="-4"/>
                <w:sz w:val="20"/>
                <w:szCs w:val="20"/>
                <w:lang w:val="en-GB"/>
              </w:rPr>
              <w:t xml:space="preserve"> systematically </w:t>
            </w:r>
            <w:r w:rsidRPr="0089630F">
              <w:rPr>
                <w:rFonts w:ascii="Calibri" w:hAnsi="Calibri" w:cs="Calibri"/>
                <w:sz w:val="20"/>
                <w:szCs w:val="20"/>
                <w:lang w:val="en-GB"/>
              </w:rPr>
              <w:t>applied</w:t>
            </w:r>
            <w:r w:rsidRPr="0089630F">
              <w:rPr>
                <w:rFonts w:ascii="Calibri" w:hAnsi="Calibri" w:cs="Calibri"/>
                <w:spacing w:val="-3"/>
                <w:sz w:val="20"/>
                <w:szCs w:val="20"/>
                <w:lang w:val="en-GB"/>
              </w:rPr>
              <w:t xml:space="preserve"> across all </w:t>
            </w:r>
            <w:r w:rsidRPr="0089630F">
              <w:rPr>
                <w:rFonts w:ascii="Calibri" w:hAnsi="Calibri" w:cs="Calibri"/>
                <w:sz w:val="20"/>
                <w:szCs w:val="20"/>
                <w:lang w:val="en-GB"/>
              </w:rPr>
              <w:t>sectors?</w:t>
            </w:r>
          </w:p>
        </w:tc>
      </w:tr>
      <w:tr w:rsidR="00F43D26" w:rsidRPr="0089630F" w14:paraId="23BE516D" w14:textId="11A671AE" w:rsidTr="00CA3EED">
        <w:trPr>
          <w:trHeight w:val="251"/>
          <w:jc w:val="center"/>
        </w:trPr>
        <w:tc>
          <w:tcPr>
            <w:tcW w:w="10201" w:type="dxa"/>
            <w:gridSpan w:val="2"/>
            <w:shd w:val="clear" w:color="auto" w:fill="D9D9D9" w:themeFill="background1" w:themeFillShade="D9"/>
            <w:vAlign w:val="center"/>
          </w:tcPr>
          <w:p w14:paraId="369F9906" w14:textId="40F45D0B" w:rsidR="00E0226A" w:rsidRPr="0089630F" w:rsidRDefault="00E0226A" w:rsidP="00E0226A">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Investment in Risk Reduction</w:t>
            </w:r>
            <w:r w:rsidR="00F45A5B" w:rsidRPr="0089630F">
              <w:rPr>
                <w:rFonts w:ascii="Calibri" w:hAnsi="Calibri" w:cs="Calibri"/>
                <w:sz w:val="20"/>
                <w:szCs w:val="20"/>
                <w:lang w:val="en-GB"/>
              </w:rPr>
              <w:t xml:space="preserve"> and Resilience</w:t>
            </w:r>
            <w:r w:rsidR="00BE414D" w:rsidRPr="0089630F">
              <w:rPr>
                <w:rFonts w:ascii="Calibri" w:hAnsi="Calibri" w:cs="Calibri"/>
                <w:sz w:val="20"/>
                <w:szCs w:val="20"/>
                <w:lang w:val="en-GB"/>
              </w:rPr>
              <w:t xml:space="preserve"> [Section V.</w:t>
            </w:r>
            <w:r w:rsidR="00F45A5B" w:rsidRPr="0089630F">
              <w:rPr>
                <w:rFonts w:ascii="Calibri" w:hAnsi="Calibri" w:cs="Calibri"/>
                <w:sz w:val="20"/>
                <w:szCs w:val="20"/>
                <w:lang w:val="en-GB"/>
              </w:rPr>
              <w:t>D</w:t>
            </w:r>
            <w:r w:rsidR="00BE414D" w:rsidRPr="0089630F">
              <w:rPr>
                <w:rFonts w:ascii="Calibri" w:hAnsi="Calibri" w:cs="Calibri"/>
                <w:sz w:val="20"/>
                <w:szCs w:val="20"/>
                <w:lang w:val="en-GB"/>
              </w:rPr>
              <w:t>.]</w:t>
            </w:r>
          </w:p>
        </w:tc>
      </w:tr>
      <w:tr w:rsidR="00F43D26" w:rsidRPr="0089630F" w14:paraId="2F7ACDEE" w14:textId="5C73AFEF" w:rsidTr="00CA3EED">
        <w:trPr>
          <w:jc w:val="center"/>
        </w:trPr>
        <w:tc>
          <w:tcPr>
            <w:tcW w:w="562" w:type="dxa"/>
            <w:vAlign w:val="center"/>
          </w:tcPr>
          <w:p w14:paraId="5DDD3BEC" w14:textId="2070CF0B" w:rsidR="00E0226A" w:rsidRPr="0089630F" w:rsidRDefault="00BE414D" w:rsidP="00E0226A">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24</w:t>
            </w:r>
          </w:p>
        </w:tc>
        <w:tc>
          <w:tcPr>
            <w:tcW w:w="9639" w:type="dxa"/>
            <w:vAlign w:val="center"/>
          </w:tcPr>
          <w:p w14:paraId="0B50A29B" w14:textId="034D0C61" w:rsidR="00E0226A" w:rsidRPr="0089630F" w:rsidRDefault="00E0226A" w:rsidP="00E0226A">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What measures can</w:t>
            </w:r>
            <w:r w:rsidR="00C500ED">
              <w:rPr>
                <w:rFonts w:ascii="Calibri" w:hAnsi="Calibri" w:cs="Calibri"/>
                <w:sz w:val="20"/>
                <w:szCs w:val="20"/>
                <w:lang w:val="en-GB"/>
              </w:rPr>
              <w:t xml:space="preserve"> non-State </w:t>
            </w:r>
            <w:r w:rsidR="00D52D34">
              <w:rPr>
                <w:rFonts w:ascii="Calibri" w:hAnsi="Calibri" w:cs="Calibri"/>
                <w:sz w:val="20"/>
                <w:szCs w:val="20"/>
                <w:lang w:val="en-GB"/>
              </w:rPr>
              <w:t>stakeholders</w:t>
            </w:r>
            <w:r w:rsidR="00C500ED">
              <w:rPr>
                <w:rFonts w:ascii="Calibri" w:hAnsi="Calibri" w:cs="Calibri"/>
                <w:sz w:val="20"/>
                <w:szCs w:val="20"/>
                <w:lang w:val="en-GB"/>
              </w:rPr>
              <w:t xml:space="preserve"> and</w:t>
            </w:r>
            <w:r w:rsidRPr="0089630F">
              <w:rPr>
                <w:rFonts w:ascii="Calibri" w:hAnsi="Calibri" w:cs="Calibri"/>
                <w:sz w:val="20"/>
                <w:szCs w:val="20"/>
                <w:lang w:val="en-GB"/>
              </w:rPr>
              <w:t xml:space="preserve"> public institutions take at national and international levels to ensure risk is priced more accurately within all financial transactions, and not treated as an externality and discounted in public and private investment?</w:t>
            </w:r>
          </w:p>
        </w:tc>
      </w:tr>
      <w:tr w:rsidR="006C3441" w:rsidRPr="0089630F" w14:paraId="4987EBCE" w14:textId="77777777" w:rsidTr="00CA3EED">
        <w:trPr>
          <w:jc w:val="center"/>
        </w:trPr>
        <w:tc>
          <w:tcPr>
            <w:tcW w:w="562" w:type="dxa"/>
            <w:vAlign w:val="center"/>
          </w:tcPr>
          <w:p w14:paraId="09681372" w14:textId="77777777" w:rsidR="006C3441" w:rsidRPr="0089630F" w:rsidRDefault="006C3441" w:rsidP="00A57141">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25</w:t>
            </w:r>
          </w:p>
        </w:tc>
        <w:tc>
          <w:tcPr>
            <w:tcW w:w="9639" w:type="dxa"/>
            <w:vAlign w:val="center"/>
          </w:tcPr>
          <w:p w14:paraId="78BEC491" w14:textId="77777777" w:rsidR="006C3441" w:rsidRPr="0089630F" w:rsidRDefault="006C3441" w:rsidP="00A57141">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What further actions are required through to 2030 to strengthen the resilience of business and industry sectors to disaster risk?</w:t>
            </w:r>
          </w:p>
        </w:tc>
      </w:tr>
      <w:tr w:rsidR="00F43D26" w:rsidRPr="0089630F" w14:paraId="169278A8" w14:textId="6849ED2C" w:rsidTr="00CA3EED">
        <w:trPr>
          <w:jc w:val="center"/>
        </w:trPr>
        <w:tc>
          <w:tcPr>
            <w:tcW w:w="562" w:type="dxa"/>
            <w:vAlign w:val="center"/>
          </w:tcPr>
          <w:p w14:paraId="6F3A4407" w14:textId="628902C2" w:rsidR="00E0226A" w:rsidRPr="0089630F" w:rsidRDefault="00BE414D" w:rsidP="00E0226A">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2</w:t>
            </w:r>
            <w:r w:rsidR="006C3441" w:rsidRPr="0089630F">
              <w:rPr>
                <w:rFonts w:ascii="Calibri" w:hAnsi="Calibri" w:cs="Calibri"/>
                <w:sz w:val="20"/>
                <w:szCs w:val="20"/>
                <w:lang w:val="en-GB"/>
              </w:rPr>
              <w:t>6</w:t>
            </w:r>
          </w:p>
        </w:tc>
        <w:tc>
          <w:tcPr>
            <w:tcW w:w="9639" w:type="dxa"/>
            <w:vAlign w:val="center"/>
          </w:tcPr>
          <w:p w14:paraId="2950A9E5" w14:textId="17021578" w:rsidR="00E0226A" w:rsidRPr="0089630F" w:rsidRDefault="00E0226A" w:rsidP="00E0226A">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 xml:space="preserve">What further actions are required </w:t>
            </w:r>
            <w:r w:rsidR="00B3510C" w:rsidRPr="0089630F">
              <w:rPr>
                <w:rFonts w:ascii="Calibri" w:hAnsi="Calibri" w:cs="Calibri"/>
                <w:sz w:val="20"/>
                <w:szCs w:val="20"/>
                <w:lang w:val="en-GB"/>
              </w:rPr>
              <w:t xml:space="preserve">within your constituency </w:t>
            </w:r>
            <w:r w:rsidRPr="0089630F">
              <w:rPr>
                <w:rFonts w:ascii="Calibri" w:hAnsi="Calibri" w:cs="Calibri"/>
                <w:sz w:val="20"/>
                <w:szCs w:val="20"/>
                <w:lang w:val="en-GB"/>
              </w:rPr>
              <w:t xml:space="preserve">through to 2030 to strengthen the resilience of </w:t>
            </w:r>
            <w:r w:rsidR="003D5751" w:rsidRPr="0089630F">
              <w:rPr>
                <w:rFonts w:ascii="Calibri" w:hAnsi="Calibri" w:cs="Calibri"/>
                <w:sz w:val="20"/>
                <w:szCs w:val="20"/>
                <w:lang w:val="en-GB"/>
              </w:rPr>
              <w:t>your domain(s) of work</w:t>
            </w:r>
            <w:r w:rsidRPr="0089630F">
              <w:rPr>
                <w:rFonts w:ascii="Calibri" w:hAnsi="Calibri" w:cs="Calibri"/>
                <w:sz w:val="20"/>
                <w:szCs w:val="20"/>
                <w:lang w:val="en-GB"/>
              </w:rPr>
              <w:t xml:space="preserve"> to disaster risk?</w:t>
            </w:r>
          </w:p>
        </w:tc>
      </w:tr>
      <w:tr w:rsidR="00F43D26" w:rsidRPr="0089630F" w14:paraId="317E92B7" w14:textId="77777777" w:rsidTr="00CA3EED">
        <w:trPr>
          <w:trHeight w:val="251"/>
          <w:jc w:val="center"/>
        </w:trPr>
        <w:tc>
          <w:tcPr>
            <w:tcW w:w="10201" w:type="dxa"/>
            <w:gridSpan w:val="2"/>
            <w:shd w:val="clear" w:color="auto" w:fill="D9D9D9" w:themeFill="background1" w:themeFillShade="D9"/>
            <w:vAlign w:val="center"/>
          </w:tcPr>
          <w:p w14:paraId="2D9E6B13" w14:textId="2A962566" w:rsidR="00E0226A" w:rsidRPr="0089630F" w:rsidRDefault="00E0226A" w:rsidP="00E0226A">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Collaboration, Partnership and Cooperation</w:t>
            </w:r>
            <w:r w:rsidR="00F45A5B" w:rsidRPr="0089630F">
              <w:rPr>
                <w:rFonts w:ascii="Calibri" w:hAnsi="Calibri" w:cs="Calibri"/>
                <w:sz w:val="20"/>
                <w:szCs w:val="20"/>
                <w:lang w:val="en-GB"/>
              </w:rPr>
              <w:t xml:space="preserve"> [Section V.E.]</w:t>
            </w:r>
          </w:p>
        </w:tc>
      </w:tr>
      <w:tr w:rsidR="00F43D26" w:rsidRPr="0089630F" w14:paraId="61FC96F2" w14:textId="77777777" w:rsidTr="00CA3EED">
        <w:trPr>
          <w:jc w:val="center"/>
        </w:trPr>
        <w:tc>
          <w:tcPr>
            <w:tcW w:w="562" w:type="dxa"/>
            <w:vAlign w:val="center"/>
          </w:tcPr>
          <w:p w14:paraId="5FCF5603" w14:textId="34E6BD69" w:rsidR="00E0226A" w:rsidRPr="0089630F" w:rsidRDefault="00BE414D" w:rsidP="00E0226A">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2</w:t>
            </w:r>
            <w:r w:rsidR="006C3441" w:rsidRPr="0089630F">
              <w:rPr>
                <w:rFonts w:ascii="Calibri" w:hAnsi="Calibri" w:cs="Calibri"/>
                <w:sz w:val="20"/>
                <w:szCs w:val="20"/>
                <w:lang w:val="en-GB"/>
              </w:rPr>
              <w:t>7</w:t>
            </w:r>
          </w:p>
        </w:tc>
        <w:tc>
          <w:tcPr>
            <w:tcW w:w="9639" w:type="dxa"/>
            <w:vAlign w:val="center"/>
          </w:tcPr>
          <w:p w14:paraId="249F8520" w14:textId="593B5841" w:rsidR="00E0226A" w:rsidRPr="0089630F" w:rsidRDefault="00E0226A" w:rsidP="00E0226A">
            <w:pPr>
              <w:spacing w:beforeLines="40" w:before="96" w:afterLines="40" w:after="96"/>
              <w:jc w:val="both"/>
              <w:rPr>
                <w:rFonts w:ascii="Calibri" w:hAnsi="Calibri" w:cs="Calibri"/>
                <w:sz w:val="20"/>
                <w:szCs w:val="20"/>
                <w:lang w:val="en-GB"/>
              </w:rPr>
            </w:pPr>
            <w:r w:rsidRPr="0089630F">
              <w:rPr>
                <w:rFonts w:ascii="Calibri" w:hAnsi="Calibri" w:cs="Calibri"/>
                <w:sz w:val="20"/>
                <w:szCs w:val="20"/>
                <w:lang w:val="en-GB"/>
              </w:rPr>
              <w:t xml:space="preserve">In </w:t>
            </w:r>
            <w:r w:rsidR="00F43D26" w:rsidRPr="0089630F">
              <w:rPr>
                <w:rFonts w:ascii="Calibri" w:hAnsi="Calibri" w:cs="Calibri"/>
                <w:sz w:val="20"/>
                <w:szCs w:val="20"/>
                <w:lang w:val="en-GB"/>
              </w:rPr>
              <w:t>accelerating and amplifying</w:t>
            </w:r>
            <w:r w:rsidRPr="0089630F">
              <w:rPr>
                <w:rFonts w:ascii="Calibri" w:hAnsi="Calibri" w:cs="Calibri"/>
                <w:sz w:val="20"/>
                <w:szCs w:val="20"/>
                <w:lang w:val="en-GB"/>
              </w:rPr>
              <w:t xml:space="preserve"> action pursuing the outcome and goal of the Sendai Framework:</w:t>
            </w:r>
          </w:p>
          <w:p w14:paraId="10E0D3F0" w14:textId="467DC81D" w:rsidR="00E0226A" w:rsidRPr="0089630F" w:rsidRDefault="00E0226A" w:rsidP="000C1DDE">
            <w:pPr>
              <w:pStyle w:val="ListParagraph"/>
              <w:numPr>
                <w:ilvl w:val="0"/>
                <w:numId w:val="7"/>
              </w:numPr>
              <w:spacing w:beforeLines="40" w:before="96" w:afterLines="40" w:after="96" w:line="259" w:lineRule="auto"/>
              <w:jc w:val="both"/>
              <w:rPr>
                <w:rFonts w:ascii="Calibri" w:hAnsi="Calibri" w:cs="Calibri"/>
                <w:sz w:val="20"/>
                <w:szCs w:val="20"/>
                <w:lang w:val="en-GB"/>
              </w:rPr>
            </w:pPr>
            <w:r w:rsidRPr="0089630F">
              <w:rPr>
                <w:rFonts w:ascii="Calibri" w:hAnsi="Calibri" w:cs="Calibri"/>
                <w:sz w:val="20"/>
                <w:szCs w:val="20"/>
                <w:lang w:val="en-GB"/>
              </w:rPr>
              <w:t xml:space="preserve">What new or emerging initiatives and partnerships </w:t>
            </w:r>
            <w:r w:rsidR="003800E1" w:rsidRPr="0089630F">
              <w:rPr>
                <w:rFonts w:ascii="Calibri" w:hAnsi="Calibri" w:cs="Calibri"/>
                <w:sz w:val="20"/>
                <w:szCs w:val="20"/>
                <w:lang w:val="en-GB"/>
              </w:rPr>
              <w:t>will need to be developed to support</w:t>
            </w:r>
            <w:r w:rsidRPr="0089630F">
              <w:rPr>
                <w:rFonts w:ascii="Calibri" w:hAnsi="Calibri" w:cs="Calibri"/>
                <w:sz w:val="20"/>
                <w:szCs w:val="20"/>
                <w:lang w:val="en-GB"/>
              </w:rPr>
              <w:t xml:space="preserve"> governments in the period to 2030?</w:t>
            </w:r>
          </w:p>
          <w:p w14:paraId="3A691348" w14:textId="40463841" w:rsidR="00E0226A" w:rsidRPr="0089630F" w:rsidRDefault="00E0226A" w:rsidP="000C1DDE">
            <w:pPr>
              <w:pStyle w:val="ListParagraph"/>
              <w:numPr>
                <w:ilvl w:val="0"/>
                <w:numId w:val="7"/>
              </w:numPr>
              <w:spacing w:beforeLines="40" w:before="96" w:afterLines="40" w:after="96" w:line="259" w:lineRule="auto"/>
              <w:jc w:val="both"/>
              <w:rPr>
                <w:rFonts w:ascii="Calibri" w:hAnsi="Calibri" w:cs="Calibri"/>
                <w:sz w:val="20"/>
                <w:szCs w:val="20"/>
                <w:lang w:val="en-GB"/>
              </w:rPr>
            </w:pPr>
            <w:r w:rsidRPr="0089630F">
              <w:rPr>
                <w:rFonts w:ascii="Calibri" w:hAnsi="Calibri" w:cs="Calibri"/>
                <w:sz w:val="20"/>
                <w:szCs w:val="20"/>
                <w:lang w:val="en-GB"/>
              </w:rPr>
              <w:t>In which priority areas are more partnerships required for risk-informed sustainable development to be possible?</w:t>
            </w:r>
          </w:p>
          <w:p w14:paraId="3023A1A2" w14:textId="6398C26A" w:rsidR="00E0226A" w:rsidRPr="0089630F" w:rsidRDefault="00E0226A" w:rsidP="000C1DDE">
            <w:pPr>
              <w:pStyle w:val="ListParagraph"/>
              <w:numPr>
                <w:ilvl w:val="0"/>
                <w:numId w:val="7"/>
              </w:numPr>
              <w:spacing w:beforeLines="40" w:before="96" w:afterLines="40" w:after="96" w:line="259" w:lineRule="auto"/>
              <w:jc w:val="both"/>
              <w:rPr>
                <w:rFonts w:ascii="Calibri" w:hAnsi="Calibri" w:cs="Calibri"/>
                <w:sz w:val="20"/>
                <w:szCs w:val="20"/>
                <w:lang w:val="en-GB"/>
              </w:rPr>
            </w:pPr>
            <w:r w:rsidRPr="0089630F">
              <w:rPr>
                <w:rFonts w:ascii="Calibri" w:hAnsi="Calibri" w:cs="Calibri"/>
                <w:sz w:val="20"/>
                <w:szCs w:val="20"/>
                <w:lang w:val="en-GB"/>
              </w:rPr>
              <w:t>How can development partners and the international community provide better support?</w:t>
            </w:r>
          </w:p>
        </w:tc>
      </w:tr>
    </w:tbl>
    <w:p w14:paraId="3E807F6E" w14:textId="5516D98B" w:rsidR="007C711D" w:rsidRPr="0089630F" w:rsidRDefault="00812C9E" w:rsidP="005D234C">
      <w:pPr>
        <w:pStyle w:val="ListParagraph"/>
        <w:numPr>
          <w:ilvl w:val="1"/>
          <w:numId w:val="1"/>
        </w:numPr>
        <w:spacing w:before="120" w:after="120"/>
        <w:ind w:left="357" w:hanging="357"/>
        <w:contextualSpacing w:val="0"/>
        <w:jc w:val="both"/>
        <w:rPr>
          <w:lang w:val="en-GB"/>
        </w:rPr>
      </w:pPr>
      <w:r w:rsidRPr="0089630F">
        <w:rPr>
          <w:lang w:val="en-GB"/>
        </w:rPr>
        <w:t xml:space="preserve">In addition to the core </w:t>
      </w:r>
      <w:r w:rsidR="00611428" w:rsidRPr="0089630F">
        <w:rPr>
          <w:lang w:val="en-GB"/>
        </w:rPr>
        <w:t xml:space="preserve">and probing </w:t>
      </w:r>
      <w:r w:rsidRPr="0089630F">
        <w:rPr>
          <w:lang w:val="en-GB"/>
        </w:rPr>
        <w:t xml:space="preserve">questions, each </w:t>
      </w:r>
      <w:r w:rsidR="00F32D70" w:rsidRPr="0089630F">
        <w:rPr>
          <w:lang w:val="en-GB"/>
        </w:rPr>
        <w:t>stakeholder</w:t>
      </w:r>
      <w:r w:rsidR="005635D9" w:rsidRPr="0089630F">
        <w:rPr>
          <w:lang w:val="en-GB"/>
        </w:rPr>
        <w:t xml:space="preserve"> may </w:t>
      </w:r>
      <w:r w:rsidR="000C6A0A" w:rsidRPr="0089630F">
        <w:rPr>
          <w:lang w:val="en-GB"/>
        </w:rPr>
        <w:t xml:space="preserve">voluntarily </w:t>
      </w:r>
      <w:r w:rsidR="005635D9" w:rsidRPr="0089630F">
        <w:rPr>
          <w:lang w:val="en-GB"/>
        </w:rPr>
        <w:t xml:space="preserve">add </w:t>
      </w:r>
      <w:r w:rsidRPr="0089630F">
        <w:rPr>
          <w:lang w:val="en-GB"/>
        </w:rPr>
        <w:t>additional</w:t>
      </w:r>
      <w:r w:rsidR="000C6A0A" w:rsidRPr="0089630F">
        <w:rPr>
          <w:lang w:val="en-GB"/>
        </w:rPr>
        <w:t xml:space="preserve"> questions</w:t>
      </w:r>
      <w:r w:rsidRPr="0089630F">
        <w:rPr>
          <w:lang w:val="en-GB"/>
        </w:rPr>
        <w:t xml:space="preserve"> to ensure </w:t>
      </w:r>
      <w:r w:rsidR="00126152" w:rsidRPr="0089630F">
        <w:rPr>
          <w:lang w:val="en-GB"/>
        </w:rPr>
        <w:t>an</w:t>
      </w:r>
      <w:r w:rsidRPr="0089630F">
        <w:rPr>
          <w:lang w:val="en-GB"/>
        </w:rPr>
        <w:t xml:space="preserve"> MTR SF that is relevant to </w:t>
      </w:r>
      <w:r w:rsidR="00F32D70" w:rsidRPr="0089630F">
        <w:rPr>
          <w:lang w:val="en-GB"/>
        </w:rPr>
        <w:t>their</w:t>
      </w:r>
      <w:r w:rsidRPr="0089630F">
        <w:rPr>
          <w:lang w:val="en-GB"/>
        </w:rPr>
        <w:t xml:space="preserve"> context</w:t>
      </w:r>
      <w:r w:rsidR="003F5430" w:rsidRPr="0089630F">
        <w:rPr>
          <w:lang w:val="en-GB"/>
        </w:rPr>
        <w:t xml:space="preserve">. </w:t>
      </w:r>
    </w:p>
    <w:p w14:paraId="248FB896" w14:textId="2250CADF" w:rsidR="00D24FCD" w:rsidRPr="0089630F" w:rsidRDefault="004E5A75" w:rsidP="005D234C">
      <w:pPr>
        <w:pStyle w:val="Heading3"/>
        <w:numPr>
          <w:ilvl w:val="0"/>
          <w:numId w:val="1"/>
        </w:numPr>
        <w:tabs>
          <w:tab w:val="num" w:pos="360"/>
        </w:tabs>
        <w:spacing w:before="360" w:after="120"/>
        <w:ind w:left="357" w:hanging="357"/>
        <w:rPr>
          <w:color w:val="C00000"/>
          <w:sz w:val="28"/>
          <w:szCs w:val="28"/>
        </w:rPr>
      </w:pPr>
      <w:r w:rsidRPr="0089630F">
        <w:rPr>
          <w:color w:val="C00000"/>
          <w:sz w:val="28"/>
          <w:szCs w:val="28"/>
        </w:rPr>
        <w:lastRenderedPageBreak/>
        <w:t>Stakeholder</w:t>
      </w:r>
      <w:r w:rsidR="003F5430" w:rsidRPr="0089630F">
        <w:rPr>
          <w:color w:val="C00000"/>
          <w:sz w:val="28"/>
          <w:szCs w:val="28"/>
        </w:rPr>
        <w:t xml:space="preserve"> </w:t>
      </w:r>
      <w:r w:rsidR="001E7B35" w:rsidRPr="0089630F">
        <w:rPr>
          <w:color w:val="C00000"/>
          <w:sz w:val="28"/>
          <w:szCs w:val="28"/>
        </w:rPr>
        <w:t>r</w:t>
      </w:r>
      <w:r w:rsidR="003F5430" w:rsidRPr="0089630F">
        <w:rPr>
          <w:color w:val="C00000"/>
          <w:sz w:val="28"/>
          <w:szCs w:val="28"/>
        </w:rPr>
        <w:t>eport</w:t>
      </w:r>
      <w:r w:rsidRPr="0089630F">
        <w:rPr>
          <w:color w:val="C00000"/>
          <w:sz w:val="28"/>
          <w:szCs w:val="28"/>
        </w:rPr>
        <w:t>s</w:t>
      </w:r>
      <w:r w:rsidR="001E7B35" w:rsidRPr="0089630F">
        <w:rPr>
          <w:color w:val="C00000"/>
          <w:sz w:val="28"/>
          <w:szCs w:val="28"/>
        </w:rPr>
        <w:t xml:space="preserve"> of the MTR SF</w:t>
      </w:r>
    </w:p>
    <w:p w14:paraId="1EA129D5" w14:textId="3F489ADA" w:rsidR="00EB28BF" w:rsidRPr="00E40E04" w:rsidRDefault="008174F3" w:rsidP="00A57141">
      <w:pPr>
        <w:pStyle w:val="ListParagraph"/>
        <w:numPr>
          <w:ilvl w:val="1"/>
          <w:numId w:val="1"/>
        </w:numPr>
        <w:spacing w:before="120" w:after="120"/>
        <w:ind w:left="357" w:hanging="357"/>
        <w:contextualSpacing w:val="0"/>
        <w:jc w:val="both"/>
        <w:rPr>
          <w:lang w:val="en-GB"/>
        </w:rPr>
      </w:pPr>
      <w:r w:rsidRPr="00E40E04">
        <w:rPr>
          <w:lang w:val="en-GB"/>
        </w:rPr>
        <w:t>A</w:t>
      </w:r>
      <w:r w:rsidR="00166B0F" w:rsidRPr="00E40E04">
        <w:rPr>
          <w:lang w:val="en-GB"/>
        </w:rPr>
        <w:t xml:space="preserve"> stakeholder report of the MTR SF</w:t>
      </w:r>
      <w:r w:rsidR="000C1DDE">
        <w:rPr>
          <w:rFonts w:ascii="ZWAdobeF" w:hAnsi="ZWAdobeF" w:cs="ZWAdobeF"/>
          <w:sz w:val="2"/>
          <w:szCs w:val="2"/>
          <w:lang w:val="en-GB"/>
        </w:rPr>
        <w:t>9F</w:t>
      </w:r>
      <w:r w:rsidR="00166B0F" w:rsidRPr="00E40E04">
        <w:rPr>
          <w:vertAlign w:val="superscript"/>
          <w:lang w:val="en-GB"/>
        </w:rPr>
        <w:footnoteReference w:id="11"/>
      </w:r>
      <w:r w:rsidR="00166B0F" w:rsidRPr="00E40E04">
        <w:rPr>
          <w:lang w:val="en-GB"/>
        </w:rPr>
        <w:t xml:space="preserve"> will be compiled by UNDRR based on the inputs received through the avenues for inputs identified in Section </w:t>
      </w:r>
      <w:proofErr w:type="gramStart"/>
      <w:r w:rsidR="00166B0F" w:rsidRPr="00E40E04">
        <w:rPr>
          <w:lang w:val="en-GB"/>
        </w:rPr>
        <w:t>3</w:t>
      </w:r>
      <w:r w:rsidR="00DC6A61" w:rsidRPr="00E40E04">
        <w:rPr>
          <w:lang w:val="en-GB"/>
        </w:rPr>
        <w:t>, and</w:t>
      </w:r>
      <w:proofErr w:type="gramEnd"/>
      <w:r w:rsidR="00DC6A61" w:rsidRPr="00E40E04">
        <w:rPr>
          <w:lang w:val="en-GB"/>
        </w:rPr>
        <w:t xml:space="preserve"> will include inputs generated through </w:t>
      </w:r>
      <w:r w:rsidR="00166B0F" w:rsidRPr="00E40E04">
        <w:rPr>
          <w:lang w:val="en-GB"/>
        </w:rPr>
        <w:t xml:space="preserve">activities coordinated by UNDRR, activities jointly coordinated by UNDRR and stakeholders, and </w:t>
      </w:r>
      <w:r w:rsidR="006F2741" w:rsidRPr="00E40E04">
        <w:rPr>
          <w:lang w:val="en-GB"/>
        </w:rPr>
        <w:t>consultation, review and stocktaking activities</w:t>
      </w:r>
      <w:r w:rsidR="00166B0F" w:rsidRPr="00E40E04">
        <w:rPr>
          <w:lang w:val="en-GB"/>
        </w:rPr>
        <w:t xml:space="preserve"> independently organised by stakeholders</w:t>
      </w:r>
      <w:r w:rsidR="2A129D76" w:rsidRPr="00E40E04">
        <w:rPr>
          <w:lang w:val="en-GB"/>
        </w:rPr>
        <w:t xml:space="preserve">. </w:t>
      </w:r>
    </w:p>
    <w:p w14:paraId="260705E4" w14:textId="2F56E60F" w:rsidR="00C12547" w:rsidRPr="00E40E04" w:rsidRDefault="00C12547" w:rsidP="00C12547">
      <w:pPr>
        <w:pStyle w:val="ListParagraph"/>
        <w:numPr>
          <w:ilvl w:val="1"/>
          <w:numId w:val="1"/>
        </w:numPr>
        <w:spacing w:before="120" w:after="120"/>
        <w:ind w:left="426" w:hanging="426"/>
        <w:contextualSpacing w:val="0"/>
        <w:jc w:val="both"/>
        <w:rPr>
          <w:lang w:val="en-GB"/>
        </w:rPr>
      </w:pPr>
      <w:r w:rsidRPr="00E40E04">
        <w:rPr>
          <w:lang w:val="en-GB"/>
        </w:rPr>
        <w:t>Individual organisations undertaking internal consultations and review in the context of the MTR SF</w:t>
      </w:r>
      <w:r w:rsidR="00DE3FFB" w:rsidRPr="00E40E04">
        <w:rPr>
          <w:lang w:val="en-GB"/>
        </w:rPr>
        <w:t xml:space="preserve"> (Section 3.7 above)</w:t>
      </w:r>
      <w:r w:rsidRPr="00E40E04">
        <w:rPr>
          <w:lang w:val="en-GB"/>
        </w:rPr>
        <w:t>, are invited to develop organi</w:t>
      </w:r>
      <w:r w:rsidR="00DE3FFB" w:rsidRPr="00E40E04">
        <w:rPr>
          <w:lang w:val="en-GB"/>
        </w:rPr>
        <w:t>s</w:t>
      </w:r>
      <w:r w:rsidRPr="00E40E04">
        <w:rPr>
          <w:lang w:val="en-GB"/>
        </w:rPr>
        <w:t>ation-specific reports as formal inputs to the MTR</w:t>
      </w:r>
      <w:r w:rsidR="00DE3FFB" w:rsidRPr="00E40E04">
        <w:rPr>
          <w:lang w:val="en-GB"/>
        </w:rPr>
        <w:t> </w:t>
      </w:r>
      <w:r w:rsidRPr="00E40E04">
        <w:rPr>
          <w:lang w:val="en-GB"/>
        </w:rPr>
        <w:t>SF</w:t>
      </w:r>
      <w:r w:rsidR="00F42038" w:rsidRPr="00E40E04">
        <w:rPr>
          <w:lang w:val="en-GB"/>
        </w:rPr>
        <w:t>, for which s</w:t>
      </w:r>
      <w:r w:rsidRPr="00E40E04">
        <w:rPr>
          <w:lang w:val="en-GB"/>
        </w:rPr>
        <w:t xml:space="preserve">takeholders may wish to </w:t>
      </w:r>
      <w:r w:rsidR="00E86835" w:rsidRPr="00E40E04">
        <w:rPr>
          <w:lang w:val="en-GB"/>
        </w:rPr>
        <w:t>adopt</w:t>
      </w:r>
      <w:r w:rsidRPr="00E40E04">
        <w:rPr>
          <w:lang w:val="en-GB"/>
        </w:rPr>
        <w:t xml:space="preserve"> the reporting structure recommended for Member States (presenting retrospective review, context shift and emerging issues, and prospective review)</w:t>
      </w:r>
      <w:r w:rsidR="00EB0E22">
        <w:rPr>
          <w:lang w:val="en-GB"/>
        </w:rPr>
        <w:t xml:space="preserve"> – accessible</w:t>
      </w:r>
      <w:r w:rsidR="00844B8B">
        <w:rPr>
          <w:lang w:val="en-GB"/>
        </w:rPr>
        <w:t xml:space="preserve"> as a </w:t>
      </w:r>
      <w:hyperlink r:id="rId12" w:history="1">
        <w:r w:rsidR="00844B8B" w:rsidRPr="00113D45">
          <w:rPr>
            <w:rStyle w:val="Hyperlink"/>
            <w:lang w:val="en-GB"/>
          </w:rPr>
          <w:t xml:space="preserve">Word </w:t>
        </w:r>
        <w:r w:rsidR="00844B8B" w:rsidRPr="00113D45">
          <w:rPr>
            <w:rStyle w:val="Hyperlink"/>
            <w:lang w:val="en-GB"/>
          </w:rPr>
          <w:t>D</w:t>
        </w:r>
        <w:r w:rsidR="00844B8B" w:rsidRPr="00113D45">
          <w:rPr>
            <w:rStyle w:val="Hyperlink"/>
            <w:lang w:val="en-GB"/>
          </w:rPr>
          <w:t>ocument</w:t>
        </w:r>
      </w:hyperlink>
      <w:r w:rsidR="00844B8B" w:rsidRPr="00520B7B">
        <w:rPr>
          <w:lang w:val="en-GB"/>
        </w:rPr>
        <w:t xml:space="preserve"> </w:t>
      </w:r>
      <w:r w:rsidR="00844B8B">
        <w:rPr>
          <w:lang w:val="en-GB"/>
        </w:rPr>
        <w:t xml:space="preserve">and </w:t>
      </w:r>
      <w:hyperlink r:id="rId13" w:history="1">
        <w:r w:rsidR="00844B8B" w:rsidRPr="00C571FF">
          <w:rPr>
            <w:rStyle w:val="Hyperlink"/>
            <w:lang w:val="en-GB"/>
          </w:rPr>
          <w:t>P</w:t>
        </w:r>
        <w:r w:rsidR="00844B8B" w:rsidRPr="00C571FF">
          <w:rPr>
            <w:rStyle w:val="Hyperlink"/>
            <w:lang w:val="en-GB"/>
          </w:rPr>
          <w:t>D</w:t>
        </w:r>
        <w:r w:rsidR="00844B8B" w:rsidRPr="00C571FF">
          <w:rPr>
            <w:rStyle w:val="Hyperlink"/>
            <w:lang w:val="en-GB"/>
          </w:rPr>
          <w:t>F</w:t>
        </w:r>
      </w:hyperlink>
      <w:r w:rsidR="000C1DDE">
        <w:rPr>
          <w:rFonts w:ascii="ZWAdobeF" w:hAnsi="ZWAdobeF" w:cs="ZWAdobeF"/>
          <w:sz w:val="2"/>
          <w:szCs w:val="2"/>
          <w:lang w:val="en-GB"/>
        </w:rPr>
        <w:t>1</w:t>
      </w:r>
      <w:r w:rsidRPr="00E40E04">
        <w:rPr>
          <w:lang w:val="en-GB"/>
        </w:rPr>
        <w:t>.</w:t>
      </w:r>
    </w:p>
    <w:p w14:paraId="1AC58188" w14:textId="21F2CF67" w:rsidR="00C12547" w:rsidRPr="00E40E04" w:rsidRDefault="00DE3FFB" w:rsidP="00A57141">
      <w:pPr>
        <w:pStyle w:val="ListParagraph"/>
        <w:numPr>
          <w:ilvl w:val="1"/>
          <w:numId w:val="1"/>
        </w:numPr>
        <w:spacing w:before="120" w:after="120"/>
        <w:ind w:left="357" w:hanging="357"/>
        <w:contextualSpacing w:val="0"/>
        <w:jc w:val="both"/>
        <w:rPr>
          <w:lang w:val="en-GB"/>
        </w:rPr>
      </w:pPr>
      <w:r w:rsidRPr="00E40E04">
        <w:rPr>
          <w:lang w:val="en-GB"/>
        </w:rPr>
        <w:t xml:space="preserve">While organisations may wish to adopt a similar approach for thematic or domain-specific reports (Section 3.8 above), the standard report template being co-designed by </w:t>
      </w:r>
      <w:proofErr w:type="gramStart"/>
      <w:r w:rsidRPr="00E40E04">
        <w:rPr>
          <w:lang w:val="en-GB"/>
        </w:rPr>
        <w:t>stakeholders</w:t>
      </w:r>
      <w:proofErr w:type="gramEnd"/>
      <w:r w:rsidRPr="00E40E04">
        <w:rPr>
          <w:lang w:val="en-GB"/>
        </w:rPr>
        <w:t xml:space="preserve"> or a self-determined reporting format are acceptable. </w:t>
      </w:r>
    </w:p>
    <w:p w14:paraId="6D7755B7" w14:textId="56663720" w:rsidR="0013645D" w:rsidRPr="0089630F" w:rsidRDefault="0062099E" w:rsidP="003F5430">
      <w:pPr>
        <w:pStyle w:val="ListParagraph"/>
        <w:numPr>
          <w:ilvl w:val="1"/>
          <w:numId w:val="1"/>
        </w:numPr>
        <w:spacing w:before="120" w:after="120"/>
        <w:ind w:left="357" w:hanging="357"/>
        <w:contextualSpacing w:val="0"/>
        <w:jc w:val="both"/>
        <w:rPr>
          <w:lang w:val="en-GB"/>
        </w:rPr>
      </w:pPr>
      <w:r w:rsidRPr="00E40E04">
        <w:rPr>
          <w:lang w:val="en-GB"/>
        </w:rPr>
        <w:t xml:space="preserve">An interim report will </w:t>
      </w:r>
      <w:r w:rsidR="00A07BA9" w:rsidRPr="00E40E04">
        <w:rPr>
          <w:lang w:val="en-GB"/>
        </w:rPr>
        <w:t>provide</w:t>
      </w:r>
      <w:r w:rsidRPr="00E40E04">
        <w:rPr>
          <w:lang w:val="en-GB"/>
        </w:rPr>
        <w:t xml:space="preserve"> the basis </w:t>
      </w:r>
      <w:r w:rsidR="00A07BA9" w:rsidRPr="00E40E04">
        <w:rPr>
          <w:lang w:val="en-GB"/>
        </w:rPr>
        <w:t>for</w:t>
      </w:r>
      <w:r w:rsidRPr="00E40E04">
        <w:rPr>
          <w:lang w:val="en-GB"/>
        </w:rPr>
        <w:t xml:space="preserve"> stakeholder consultations to be held at the </w:t>
      </w:r>
      <w:r w:rsidR="00C26664" w:rsidRPr="00E40E04">
        <w:rPr>
          <w:lang w:val="en-GB"/>
        </w:rPr>
        <w:t>G</w:t>
      </w:r>
      <w:r w:rsidR="003E7B29" w:rsidRPr="00E40E04">
        <w:rPr>
          <w:lang w:val="en-GB"/>
        </w:rPr>
        <w:t>lobal Platform</w:t>
      </w:r>
      <w:r w:rsidR="003E7B29" w:rsidRPr="0089630F">
        <w:rPr>
          <w:lang w:val="en-GB"/>
        </w:rPr>
        <w:t xml:space="preserve"> in May </w:t>
      </w:r>
      <w:r w:rsidRPr="0089630F">
        <w:rPr>
          <w:lang w:val="en-GB"/>
        </w:rPr>
        <w:t>2022, informing the SEM declaration as well as stakeholder engagement in the official and unofficial sessions of GP2022</w:t>
      </w:r>
      <w:r w:rsidR="3BC82494" w:rsidRPr="0089630F">
        <w:rPr>
          <w:lang w:val="en-GB"/>
        </w:rPr>
        <w:t xml:space="preserve">. </w:t>
      </w:r>
      <w:r w:rsidR="001C18A2" w:rsidRPr="0089630F">
        <w:rPr>
          <w:lang w:val="en-GB"/>
        </w:rPr>
        <w:t xml:space="preserve">The interim </w:t>
      </w:r>
      <w:r w:rsidR="00976DCE" w:rsidRPr="0089630F">
        <w:rPr>
          <w:lang w:val="en-GB"/>
        </w:rPr>
        <w:t>report</w:t>
      </w:r>
      <w:r w:rsidR="001C18A2" w:rsidRPr="0089630F">
        <w:rPr>
          <w:lang w:val="en-GB"/>
        </w:rPr>
        <w:t xml:space="preserve"> will also provide insights into key areas requiring </w:t>
      </w:r>
      <w:r w:rsidR="005318F2" w:rsidRPr="0089630F">
        <w:rPr>
          <w:lang w:val="en-GB"/>
        </w:rPr>
        <w:t>further analysis in the remaining period of the MTR SF.</w:t>
      </w:r>
    </w:p>
    <w:p w14:paraId="787FC6F0" w14:textId="6AF1927C" w:rsidR="00EB28BF" w:rsidRPr="0089630F" w:rsidRDefault="00EB28BF" w:rsidP="003F5430">
      <w:pPr>
        <w:pStyle w:val="ListParagraph"/>
        <w:numPr>
          <w:ilvl w:val="1"/>
          <w:numId w:val="1"/>
        </w:numPr>
        <w:spacing w:before="120" w:after="120"/>
        <w:ind w:left="357" w:hanging="357"/>
        <w:contextualSpacing w:val="0"/>
        <w:jc w:val="both"/>
        <w:rPr>
          <w:lang w:val="en-GB"/>
        </w:rPr>
      </w:pPr>
      <w:r w:rsidRPr="0089630F">
        <w:rPr>
          <w:lang w:val="en-GB"/>
        </w:rPr>
        <w:t>The Concept Note</w:t>
      </w:r>
      <w:r w:rsidR="000C1DDE">
        <w:rPr>
          <w:rFonts w:ascii="ZWAdobeF" w:hAnsi="ZWAdobeF" w:cs="ZWAdobeF"/>
          <w:sz w:val="2"/>
          <w:szCs w:val="2"/>
          <w:lang w:val="en-GB"/>
        </w:rPr>
        <w:t>11F</w:t>
      </w:r>
      <w:r w:rsidRPr="0089630F">
        <w:rPr>
          <w:rStyle w:val="FootnoteReference"/>
          <w:lang w:val="en-GB"/>
        </w:rPr>
        <w:footnoteReference w:id="12"/>
      </w:r>
      <w:r w:rsidRPr="0089630F">
        <w:rPr>
          <w:lang w:val="en-GB"/>
        </w:rPr>
        <w:t xml:space="preserve"> </w:t>
      </w:r>
      <w:r w:rsidR="0002740E" w:rsidRPr="0089630F">
        <w:rPr>
          <w:lang w:val="en-GB"/>
        </w:rPr>
        <w:t xml:space="preserve">in Annex II of this Guidance </w:t>
      </w:r>
      <w:r w:rsidRPr="0089630F">
        <w:rPr>
          <w:lang w:val="en-GB"/>
        </w:rPr>
        <w:t xml:space="preserve">explores cross-cutting themes that </w:t>
      </w:r>
      <w:r w:rsidR="00A96BD1" w:rsidRPr="0089630F">
        <w:rPr>
          <w:lang w:val="en-GB"/>
        </w:rPr>
        <w:t>stakeholders</w:t>
      </w:r>
      <w:r w:rsidRPr="0089630F">
        <w:rPr>
          <w:lang w:val="en-GB"/>
        </w:rPr>
        <w:t xml:space="preserve"> are encouraged to include in consultations, review and </w:t>
      </w:r>
      <w:r w:rsidR="00A96BD1" w:rsidRPr="0089630F">
        <w:rPr>
          <w:lang w:val="en-GB"/>
        </w:rPr>
        <w:t>stocktaking</w:t>
      </w:r>
      <w:r w:rsidRPr="0089630F">
        <w:rPr>
          <w:lang w:val="en-GB"/>
        </w:rPr>
        <w:t>, including integrating gender and ‘leave no one behind’ perspective</w:t>
      </w:r>
      <w:r w:rsidR="00505CDD" w:rsidRPr="0089630F">
        <w:rPr>
          <w:lang w:val="en-GB"/>
        </w:rPr>
        <w:t>s</w:t>
      </w:r>
      <w:r w:rsidRPr="0089630F">
        <w:rPr>
          <w:lang w:val="en-GB"/>
        </w:rPr>
        <w:t xml:space="preserve"> throughout.</w:t>
      </w:r>
    </w:p>
    <w:p w14:paraId="3A220446" w14:textId="507B1180" w:rsidR="00505CDD" w:rsidRPr="0089630F" w:rsidRDefault="00505CDD" w:rsidP="003F5430">
      <w:pPr>
        <w:pStyle w:val="ListParagraph"/>
        <w:numPr>
          <w:ilvl w:val="1"/>
          <w:numId w:val="1"/>
        </w:numPr>
        <w:spacing w:before="120" w:after="120"/>
        <w:ind w:left="357" w:hanging="357"/>
        <w:contextualSpacing w:val="0"/>
        <w:jc w:val="both"/>
        <w:rPr>
          <w:lang w:val="en-GB"/>
        </w:rPr>
      </w:pPr>
      <w:r w:rsidRPr="0089630F">
        <w:rPr>
          <w:lang w:val="en-GB"/>
        </w:rPr>
        <w:t xml:space="preserve">Where key illustrative case studies of successes in implementation of the </w:t>
      </w:r>
      <w:r w:rsidR="00B3043A" w:rsidRPr="0089630F">
        <w:rPr>
          <w:lang w:val="en-GB"/>
        </w:rPr>
        <w:t xml:space="preserve">Sendai Framework </w:t>
      </w:r>
      <w:r w:rsidRPr="0089630F">
        <w:rPr>
          <w:lang w:val="en-GB"/>
        </w:rPr>
        <w:t xml:space="preserve">are identified, and which offer possibilities for replication, </w:t>
      </w:r>
      <w:r w:rsidR="00ED1D96" w:rsidRPr="0089630F">
        <w:rPr>
          <w:lang w:val="en-GB"/>
        </w:rPr>
        <w:t>stakeholders</w:t>
      </w:r>
      <w:r w:rsidRPr="0089630F">
        <w:rPr>
          <w:lang w:val="en-GB"/>
        </w:rPr>
        <w:t xml:space="preserve"> are encouraged to indicate these for dissemination through the MTR SF.</w:t>
      </w:r>
    </w:p>
    <w:p w14:paraId="6F5269E7" w14:textId="77777777" w:rsidR="00F96AF3" w:rsidRDefault="00F96AF3">
      <w:pPr>
        <w:rPr>
          <w:rFonts w:asciiTheme="majorHAnsi" w:eastAsiaTheme="majorEastAsia" w:hAnsiTheme="majorHAnsi" w:cstheme="majorBidi"/>
          <w:color w:val="C00000"/>
          <w:sz w:val="28"/>
          <w:szCs w:val="28"/>
          <w:lang w:val="en-GB"/>
        </w:rPr>
      </w:pPr>
      <w:r>
        <w:rPr>
          <w:color w:val="C00000"/>
          <w:sz w:val="28"/>
          <w:szCs w:val="28"/>
        </w:rPr>
        <w:br w:type="page"/>
      </w:r>
    </w:p>
    <w:p w14:paraId="668EFB5F" w14:textId="2B943217" w:rsidR="00652F98" w:rsidRPr="0089630F" w:rsidRDefault="003F5430" w:rsidP="005D234C">
      <w:pPr>
        <w:pStyle w:val="Heading3"/>
        <w:numPr>
          <w:ilvl w:val="0"/>
          <w:numId w:val="1"/>
        </w:numPr>
        <w:tabs>
          <w:tab w:val="num" w:pos="360"/>
        </w:tabs>
        <w:spacing w:before="360" w:after="120"/>
        <w:ind w:left="357" w:hanging="357"/>
        <w:rPr>
          <w:color w:val="C00000"/>
          <w:sz w:val="28"/>
          <w:szCs w:val="28"/>
        </w:rPr>
      </w:pPr>
      <w:r w:rsidRPr="0089630F">
        <w:rPr>
          <w:color w:val="C00000"/>
          <w:sz w:val="28"/>
          <w:szCs w:val="28"/>
        </w:rPr>
        <w:lastRenderedPageBreak/>
        <w:t>Timeline</w:t>
      </w:r>
    </w:p>
    <w:p w14:paraId="1BA9257C" w14:textId="400068F3" w:rsidR="003F5430" w:rsidRPr="0089630F" w:rsidRDefault="00D86E90" w:rsidP="003F5430">
      <w:pPr>
        <w:pStyle w:val="ListParagraph"/>
        <w:numPr>
          <w:ilvl w:val="1"/>
          <w:numId w:val="1"/>
        </w:numPr>
        <w:spacing w:before="120" w:after="120"/>
        <w:ind w:left="357" w:hanging="357"/>
        <w:contextualSpacing w:val="0"/>
        <w:jc w:val="both"/>
        <w:rPr>
          <w:lang w:val="en-GB"/>
        </w:rPr>
      </w:pPr>
      <w:r w:rsidRPr="0089630F">
        <w:rPr>
          <w:lang w:val="en-GB"/>
        </w:rPr>
        <w:t>Stakeholders</w:t>
      </w:r>
      <w:r w:rsidR="003F5430" w:rsidRPr="0089630F">
        <w:rPr>
          <w:lang w:val="en-GB"/>
        </w:rPr>
        <w:t xml:space="preserve"> may commence consultations and reviews forthwith</w:t>
      </w:r>
      <w:r w:rsidR="00AC3D0E" w:rsidRPr="0089630F">
        <w:rPr>
          <w:lang w:val="en-GB"/>
        </w:rPr>
        <w:t xml:space="preserve"> and complete them by </w:t>
      </w:r>
      <w:r w:rsidR="0050375F" w:rsidRPr="0089630F">
        <w:rPr>
          <w:lang w:val="en-GB"/>
        </w:rPr>
        <w:t>31 August 2022 at the latest.</w:t>
      </w:r>
    </w:p>
    <w:p w14:paraId="4CCA4488" w14:textId="1EEC0A27" w:rsidR="00387518" w:rsidRPr="0089630F" w:rsidRDefault="00893ED7" w:rsidP="003F5430">
      <w:pPr>
        <w:pStyle w:val="ListParagraph"/>
        <w:numPr>
          <w:ilvl w:val="1"/>
          <w:numId w:val="1"/>
        </w:numPr>
        <w:spacing w:before="120" w:after="120"/>
        <w:ind w:left="357" w:hanging="357"/>
        <w:contextualSpacing w:val="0"/>
        <w:jc w:val="both"/>
        <w:rPr>
          <w:lang w:val="en-GB"/>
        </w:rPr>
      </w:pPr>
      <w:r w:rsidRPr="0089630F">
        <w:rPr>
          <w:lang w:val="en-GB"/>
        </w:rPr>
        <w:t xml:space="preserve">Preliminary </w:t>
      </w:r>
      <w:r w:rsidR="00387518" w:rsidRPr="0089630F">
        <w:rPr>
          <w:lang w:val="en-GB"/>
        </w:rPr>
        <w:t>findings developed</w:t>
      </w:r>
      <w:r w:rsidRPr="0089630F">
        <w:rPr>
          <w:lang w:val="en-GB"/>
        </w:rPr>
        <w:t xml:space="preserve"> through </w:t>
      </w:r>
      <w:r w:rsidR="00387518" w:rsidRPr="0089630F">
        <w:rPr>
          <w:lang w:val="en-GB"/>
        </w:rPr>
        <w:t xml:space="preserve">inter alia </w:t>
      </w:r>
      <w:r w:rsidRPr="0089630F">
        <w:rPr>
          <w:lang w:val="en-GB"/>
        </w:rPr>
        <w:t>the SEM</w:t>
      </w:r>
      <w:r w:rsidR="00387518" w:rsidRPr="0089630F">
        <w:rPr>
          <w:lang w:val="en-GB"/>
        </w:rPr>
        <w:t>,</w:t>
      </w:r>
      <w:r w:rsidRPr="0089630F">
        <w:rPr>
          <w:lang w:val="en-GB"/>
        </w:rPr>
        <w:t xml:space="preserve"> will be presented and discussed at the </w:t>
      </w:r>
      <w:r w:rsidR="001F7FFB" w:rsidRPr="0089630F">
        <w:rPr>
          <w:lang w:val="en-GB"/>
        </w:rPr>
        <w:t>GP</w:t>
      </w:r>
      <w:r w:rsidRPr="0089630F">
        <w:rPr>
          <w:lang w:val="en-GB"/>
        </w:rPr>
        <w:t>2022</w:t>
      </w:r>
      <w:r w:rsidR="00907F27" w:rsidRPr="0089630F">
        <w:rPr>
          <w:lang w:val="en-GB"/>
        </w:rPr>
        <w:t xml:space="preserve"> from 23 to 28 May 2022</w:t>
      </w:r>
      <w:r w:rsidR="00387518" w:rsidRPr="0089630F">
        <w:rPr>
          <w:lang w:val="en-GB"/>
        </w:rPr>
        <w:t>.</w:t>
      </w:r>
    </w:p>
    <w:p w14:paraId="4492CE4C" w14:textId="643E1994" w:rsidR="00CB0A9C" w:rsidRPr="0089630F" w:rsidRDefault="00C57370" w:rsidP="003F5430">
      <w:pPr>
        <w:pStyle w:val="ListParagraph"/>
        <w:numPr>
          <w:ilvl w:val="1"/>
          <w:numId w:val="1"/>
        </w:numPr>
        <w:spacing w:before="120" w:after="120"/>
        <w:ind w:left="357" w:hanging="357"/>
        <w:contextualSpacing w:val="0"/>
        <w:jc w:val="both"/>
        <w:rPr>
          <w:lang w:val="en-GB"/>
        </w:rPr>
      </w:pPr>
      <w:r w:rsidRPr="0089630F">
        <w:rPr>
          <w:lang w:val="en-GB"/>
        </w:rPr>
        <w:t>Organisation-specific</w:t>
      </w:r>
      <w:r w:rsidR="14B3AAB2" w:rsidRPr="0089630F">
        <w:rPr>
          <w:lang w:val="en-GB"/>
        </w:rPr>
        <w:t xml:space="preserve"> reports</w:t>
      </w:r>
      <w:r w:rsidR="2F76CE71" w:rsidRPr="0089630F">
        <w:rPr>
          <w:lang w:val="en-GB"/>
        </w:rPr>
        <w:t xml:space="preserve"> of the MTR SF</w:t>
      </w:r>
      <w:r w:rsidRPr="0089630F">
        <w:rPr>
          <w:lang w:val="en-GB"/>
        </w:rPr>
        <w:t xml:space="preserve">, and/or other </w:t>
      </w:r>
      <w:r w:rsidR="00A5416B" w:rsidRPr="0089630F">
        <w:rPr>
          <w:lang w:val="en-GB"/>
        </w:rPr>
        <w:t>reports prepared by stakeholders</w:t>
      </w:r>
      <w:r w:rsidR="14B3AAB2" w:rsidRPr="0089630F">
        <w:rPr>
          <w:lang w:val="en-GB"/>
        </w:rPr>
        <w:t xml:space="preserve"> </w:t>
      </w:r>
      <w:r w:rsidR="7F6D460E" w:rsidRPr="0089630F">
        <w:rPr>
          <w:lang w:val="en-GB"/>
        </w:rPr>
        <w:t>should</w:t>
      </w:r>
      <w:r w:rsidR="14B3AAB2" w:rsidRPr="0089630F">
        <w:rPr>
          <w:lang w:val="en-GB"/>
        </w:rPr>
        <w:t xml:space="preserve"> be submitted </w:t>
      </w:r>
      <w:r w:rsidR="7F6D460E" w:rsidRPr="0089630F">
        <w:rPr>
          <w:lang w:val="en-GB"/>
        </w:rPr>
        <w:t xml:space="preserve">in electronic format </w:t>
      </w:r>
      <w:r w:rsidR="00CB0A9C" w:rsidRPr="0089630F">
        <w:rPr>
          <w:lang w:val="en-GB"/>
        </w:rPr>
        <w:t>by 30 September 2022</w:t>
      </w:r>
      <w:r w:rsidR="00673632" w:rsidRPr="0089630F">
        <w:rPr>
          <w:lang w:val="en-GB"/>
        </w:rPr>
        <w:t xml:space="preserve">. </w:t>
      </w:r>
      <w:r w:rsidR="00154633" w:rsidRPr="0089630F">
        <w:rPr>
          <w:lang w:val="en-GB"/>
        </w:rPr>
        <w:t>Reports should be submitted</w:t>
      </w:r>
      <w:r w:rsidR="00CB0A9C" w:rsidRPr="0089630F">
        <w:rPr>
          <w:lang w:val="en-GB"/>
        </w:rPr>
        <w:t xml:space="preserve"> </w:t>
      </w:r>
      <w:r w:rsidR="007B722C" w:rsidRPr="0089630F">
        <w:rPr>
          <w:lang w:val="en-GB"/>
        </w:rPr>
        <w:t xml:space="preserve">directly </w:t>
      </w:r>
      <w:r w:rsidR="14B3AAB2" w:rsidRPr="0089630F">
        <w:rPr>
          <w:lang w:val="en-GB"/>
        </w:rPr>
        <w:t xml:space="preserve">to the </w:t>
      </w:r>
      <w:r w:rsidR="752833F8" w:rsidRPr="0089630F">
        <w:rPr>
          <w:lang w:val="en-GB"/>
        </w:rPr>
        <w:t xml:space="preserve">UNDRR </w:t>
      </w:r>
      <w:r w:rsidR="14B3AAB2" w:rsidRPr="0089630F">
        <w:rPr>
          <w:lang w:val="en-GB"/>
        </w:rPr>
        <w:t>Secr</w:t>
      </w:r>
      <w:r w:rsidR="752833F8" w:rsidRPr="0089630F">
        <w:rPr>
          <w:lang w:val="en-GB"/>
        </w:rPr>
        <w:t>etariat</w:t>
      </w:r>
      <w:r w:rsidR="007B722C" w:rsidRPr="0089630F">
        <w:rPr>
          <w:lang w:val="en-GB"/>
        </w:rPr>
        <w:t xml:space="preserve"> </w:t>
      </w:r>
      <w:r w:rsidR="001A628F" w:rsidRPr="0089630F">
        <w:rPr>
          <w:lang w:val="en-GB"/>
        </w:rPr>
        <w:t>at HQ</w:t>
      </w:r>
      <w:r w:rsidR="009562F0" w:rsidRPr="0089630F">
        <w:rPr>
          <w:lang w:val="en-GB"/>
        </w:rPr>
        <w:t xml:space="preserve"> (see Annex I)</w:t>
      </w:r>
      <w:r w:rsidR="04485075" w:rsidRPr="0089630F">
        <w:rPr>
          <w:lang w:val="en-GB"/>
        </w:rPr>
        <w:t xml:space="preserve">. </w:t>
      </w:r>
    </w:p>
    <w:p w14:paraId="0FAC475F" w14:textId="508D888C" w:rsidR="006E7689" w:rsidRPr="0089630F" w:rsidRDefault="571E2DFF" w:rsidP="006A7B46">
      <w:pPr>
        <w:pStyle w:val="ListParagraph"/>
        <w:numPr>
          <w:ilvl w:val="1"/>
          <w:numId w:val="1"/>
        </w:numPr>
        <w:spacing w:before="120" w:after="120"/>
        <w:ind w:left="357" w:hanging="357"/>
        <w:contextualSpacing w:val="0"/>
        <w:jc w:val="both"/>
        <w:rPr>
          <w:lang w:val="en-GB"/>
        </w:rPr>
      </w:pPr>
      <w:r w:rsidRPr="0089630F">
        <w:rPr>
          <w:lang w:val="en-GB"/>
        </w:rPr>
        <w:t xml:space="preserve">It is </w:t>
      </w:r>
      <w:r w:rsidR="1CF8B522" w:rsidRPr="0089630F">
        <w:rPr>
          <w:lang w:val="en-GB"/>
        </w:rPr>
        <w:t>essential</w:t>
      </w:r>
      <w:r w:rsidRPr="0089630F">
        <w:rPr>
          <w:lang w:val="en-GB"/>
        </w:rPr>
        <w:t xml:space="preserve"> </w:t>
      </w:r>
      <w:r w:rsidR="19BB151D" w:rsidRPr="0089630F">
        <w:rPr>
          <w:lang w:val="en-GB"/>
        </w:rPr>
        <w:t>that sufficient</w:t>
      </w:r>
      <w:r w:rsidRPr="0089630F">
        <w:rPr>
          <w:lang w:val="en-GB"/>
        </w:rPr>
        <w:t xml:space="preserve"> time</w:t>
      </w:r>
      <w:r w:rsidR="19BB151D" w:rsidRPr="0089630F">
        <w:rPr>
          <w:lang w:val="en-GB"/>
        </w:rPr>
        <w:t xml:space="preserve"> is allo</w:t>
      </w:r>
      <w:r w:rsidR="0DEDE8C9" w:rsidRPr="0089630F">
        <w:rPr>
          <w:lang w:val="en-GB"/>
        </w:rPr>
        <w:t>tt</w:t>
      </w:r>
      <w:r w:rsidR="19BB151D" w:rsidRPr="0089630F">
        <w:rPr>
          <w:lang w:val="en-GB"/>
        </w:rPr>
        <w:t>ed</w:t>
      </w:r>
      <w:r w:rsidRPr="0089630F">
        <w:rPr>
          <w:lang w:val="en-GB"/>
        </w:rPr>
        <w:t xml:space="preserve"> for</w:t>
      </w:r>
      <w:r w:rsidR="00CA00C5" w:rsidRPr="0089630F">
        <w:rPr>
          <w:lang w:val="en-GB"/>
        </w:rPr>
        <w:t xml:space="preserve"> </w:t>
      </w:r>
      <w:r w:rsidR="0047561E" w:rsidRPr="0089630F">
        <w:rPr>
          <w:lang w:val="en-GB"/>
        </w:rPr>
        <w:t xml:space="preserve">conclusion of </w:t>
      </w:r>
      <w:r w:rsidR="00D06996" w:rsidRPr="0089630F">
        <w:rPr>
          <w:lang w:val="en-GB"/>
        </w:rPr>
        <w:t>internal</w:t>
      </w:r>
      <w:r w:rsidRPr="0089630F">
        <w:rPr>
          <w:lang w:val="en-GB"/>
        </w:rPr>
        <w:t xml:space="preserve"> approval</w:t>
      </w:r>
      <w:r w:rsidR="19BB151D" w:rsidRPr="0089630F">
        <w:rPr>
          <w:lang w:val="en-GB"/>
        </w:rPr>
        <w:t xml:space="preserve"> processes</w:t>
      </w:r>
      <w:r w:rsidRPr="0089630F">
        <w:rPr>
          <w:lang w:val="en-GB"/>
        </w:rPr>
        <w:t xml:space="preserve"> of the </w:t>
      </w:r>
      <w:r w:rsidR="54958BCB" w:rsidRPr="0089630F">
        <w:rPr>
          <w:lang w:val="en-GB"/>
        </w:rPr>
        <w:t>report</w:t>
      </w:r>
      <w:r w:rsidR="19BB151D" w:rsidRPr="0089630F">
        <w:rPr>
          <w:lang w:val="en-GB"/>
        </w:rPr>
        <w:t xml:space="preserve"> content</w:t>
      </w:r>
      <w:r w:rsidR="54958BCB" w:rsidRPr="0089630F">
        <w:rPr>
          <w:lang w:val="en-GB"/>
        </w:rPr>
        <w:t xml:space="preserve"> </w:t>
      </w:r>
      <w:r w:rsidR="00860253" w:rsidRPr="0089630F">
        <w:rPr>
          <w:lang w:val="en-GB"/>
        </w:rPr>
        <w:t>prior to</w:t>
      </w:r>
      <w:r w:rsidR="54958BCB" w:rsidRPr="0089630F">
        <w:rPr>
          <w:lang w:val="en-GB"/>
        </w:rPr>
        <w:t xml:space="preserve"> </w:t>
      </w:r>
      <w:r w:rsidR="00FE2A3B" w:rsidRPr="0089630F">
        <w:rPr>
          <w:lang w:val="en-GB"/>
        </w:rPr>
        <w:t>submission.</w:t>
      </w:r>
      <w:r w:rsidR="00860253" w:rsidRPr="0089630F">
        <w:rPr>
          <w:lang w:val="en-GB"/>
        </w:rPr>
        <w:t xml:space="preserve"> Reports</w:t>
      </w:r>
      <w:r w:rsidR="00725605" w:rsidRPr="0089630F">
        <w:rPr>
          <w:lang w:val="en-GB"/>
        </w:rPr>
        <w:t xml:space="preserve"> may be submitted in any one of the six official languages of the U</w:t>
      </w:r>
      <w:r w:rsidR="003D7678" w:rsidRPr="0089630F">
        <w:rPr>
          <w:lang w:val="en-GB"/>
        </w:rPr>
        <w:t>nited Nations</w:t>
      </w:r>
      <w:r w:rsidR="000C1DDE">
        <w:rPr>
          <w:rFonts w:ascii="ZWAdobeF" w:hAnsi="ZWAdobeF" w:cs="ZWAdobeF"/>
          <w:sz w:val="2"/>
          <w:szCs w:val="2"/>
          <w:lang w:val="en-GB"/>
        </w:rPr>
        <w:t>12F</w:t>
      </w:r>
      <w:r w:rsidR="003D7678" w:rsidRPr="0089630F">
        <w:rPr>
          <w:rStyle w:val="FootnoteReference"/>
          <w:lang w:val="en-GB"/>
        </w:rPr>
        <w:footnoteReference w:id="13"/>
      </w:r>
      <w:r w:rsidR="54958BCB" w:rsidRPr="0089630F">
        <w:rPr>
          <w:lang w:val="en-GB"/>
        </w:rPr>
        <w:t xml:space="preserve">. </w:t>
      </w:r>
    </w:p>
    <w:p w14:paraId="71454BA3" w14:textId="7AE0C336" w:rsidR="003507CB" w:rsidRPr="0089630F" w:rsidRDefault="1B1A4116" w:rsidP="003F5430">
      <w:pPr>
        <w:pStyle w:val="ListParagraph"/>
        <w:numPr>
          <w:ilvl w:val="1"/>
          <w:numId w:val="1"/>
        </w:numPr>
        <w:spacing w:before="120" w:after="120"/>
        <w:ind w:left="357" w:hanging="357"/>
        <w:contextualSpacing w:val="0"/>
        <w:jc w:val="both"/>
        <w:rPr>
          <w:lang w:val="en-GB"/>
        </w:rPr>
      </w:pPr>
      <w:r w:rsidRPr="0089630F">
        <w:rPr>
          <w:lang w:val="en-GB"/>
        </w:rPr>
        <w:t xml:space="preserve">All inputs </w:t>
      </w:r>
      <w:r w:rsidR="2A69230B" w:rsidRPr="0089630F">
        <w:rPr>
          <w:lang w:val="en-GB"/>
        </w:rPr>
        <w:t xml:space="preserve">from </w:t>
      </w:r>
      <w:r w:rsidR="00FE2A3B" w:rsidRPr="0089630F">
        <w:rPr>
          <w:lang w:val="en-GB"/>
        </w:rPr>
        <w:t>stakeholder</w:t>
      </w:r>
      <w:r w:rsidR="33F7CEA8" w:rsidRPr="0089630F">
        <w:rPr>
          <w:lang w:val="en-GB"/>
        </w:rPr>
        <w:t xml:space="preserve"> reports </w:t>
      </w:r>
      <w:r w:rsidR="2F76CE71" w:rsidRPr="0089630F">
        <w:rPr>
          <w:lang w:val="en-GB"/>
        </w:rPr>
        <w:t>of the MTR SF</w:t>
      </w:r>
      <w:r w:rsidR="00FE2A3B" w:rsidRPr="0089630F">
        <w:rPr>
          <w:lang w:val="en-GB"/>
        </w:rPr>
        <w:t xml:space="preserve">, as well as </w:t>
      </w:r>
      <w:r w:rsidR="007D5F87" w:rsidRPr="0089630F">
        <w:rPr>
          <w:lang w:val="en-GB"/>
        </w:rPr>
        <w:t xml:space="preserve">other </w:t>
      </w:r>
      <w:r w:rsidR="00557B57" w:rsidRPr="0089630F">
        <w:rPr>
          <w:lang w:val="en-GB"/>
        </w:rPr>
        <w:t>inputs</w:t>
      </w:r>
      <w:r w:rsidR="2F76CE71" w:rsidRPr="0089630F">
        <w:rPr>
          <w:lang w:val="en-GB"/>
        </w:rPr>
        <w:t xml:space="preserve"> </w:t>
      </w:r>
      <w:r w:rsidR="2A69230B" w:rsidRPr="0089630F">
        <w:rPr>
          <w:lang w:val="en-GB"/>
        </w:rPr>
        <w:t xml:space="preserve">will be </w:t>
      </w:r>
      <w:r w:rsidR="33F7CEA8" w:rsidRPr="0089630F">
        <w:rPr>
          <w:lang w:val="en-GB"/>
        </w:rPr>
        <w:t xml:space="preserve">considered </w:t>
      </w:r>
      <w:r w:rsidR="2A69230B" w:rsidRPr="0089630F">
        <w:rPr>
          <w:lang w:val="en-GB"/>
        </w:rPr>
        <w:t xml:space="preserve">in the analysis </w:t>
      </w:r>
      <w:r w:rsidR="33F7CEA8" w:rsidRPr="0089630F">
        <w:rPr>
          <w:lang w:val="en-GB"/>
        </w:rPr>
        <w:t xml:space="preserve">and drafting of the </w:t>
      </w:r>
      <w:r w:rsidR="591D7002" w:rsidRPr="0089630F">
        <w:rPr>
          <w:lang w:val="en-GB"/>
        </w:rPr>
        <w:t>MTR SF Main and Synthesis Reports</w:t>
      </w:r>
      <w:r w:rsidR="001B0A78" w:rsidRPr="0089630F">
        <w:rPr>
          <w:lang w:val="en-GB"/>
        </w:rPr>
        <w:t xml:space="preserve">. These reports </w:t>
      </w:r>
      <w:r w:rsidR="005E005D" w:rsidRPr="0089630F">
        <w:rPr>
          <w:lang w:val="en-GB"/>
        </w:rPr>
        <w:t>will be published to inform Member States’ deliberations</w:t>
      </w:r>
      <w:r w:rsidR="00BF3347" w:rsidRPr="0089630F">
        <w:rPr>
          <w:lang w:val="en-GB"/>
        </w:rPr>
        <w:t xml:space="preserve"> in the intergovernmental negotiations that will conclude in the adoption of the political declaration of the MTR SF in </w:t>
      </w:r>
      <w:r w:rsidR="001B0A78" w:rsidRPr="0089630F">
        <w:rPr>
          <w:lang w:val="en-GB"/>
        </w:rPr>
        <w:t xml:space="preserve">May </w:t>
      </w:r>
      <w:r w:rsidR="00BF3347" w:rsidRPr="0089630F">
        <w:rPr>
          <w:lang w:val="en-GB"/>
        </w:rPr>
        <w:t>2023</w:t>
      </w:r>
      <w:r w:rsidR="591D7002" w:rsidRPr="0089630F">
        <w:rPr>
          <w:lang w:val="en-GB"/>
        </w:rPr>
        <w:t>.</w:t>
      </w:r>
      <w:r w:rsidR="571E2DFF" w:rsidRPr="0089630F">
        <w:rPr>
          <w:lang w:val="en-GB"/>
        </w:rPr>
        <w:t xml:space="preserve"> </w:t>
      </w:r>
    </w:p>
    <w:p w14:paraId="618EABA6" w14:textId="77777777" w:rsidR="003507CB" w:rsidRPr="0089630F" w:rsidRDefault="003507CB">
      <w:pPr>
        <w:rPr>
          <w:lang w:val="en-GB"/>
        </w:rPr>
      </w:pPr>
      <w:r w:rsidRPr="0089630F">
        <w:rPr>
          <w:lang w:val="en-GB"/>
        </w:rPr>
        <w:br w:type="page"/>
      </w:r>
    </w:p>
    <w:p w14:paraId="61C7DB7D" w14:textId="43E2B030" w:rsidR="00263819" w:rsidRPr="0089630F" w:rsidRDefault="003507CB" w:rsidP="00747D5A">
      <w:pPr>
        <w:spacing w:before="120" w:after="120"/>
        <w:jc w:val="center"/>
        <w:rPr>
          <w:color w:val="1F3864" w:themeColor="accent1" w:themeShade="80"/>
          <w:sz w:val="32"/>
          <w:szCs w:val="32"/>
          <w:lang w:val="en-GB"/>
        </w:rPr>
      </w:pPr>
      <w:r w:rsidRPr="0089630F">
        <w:rPr>
          <w:color w:val="1F3864" w:themeColor="accent1" w:themeShade="80"/>
          <w:sz w:val="32"/>
          <w:szCs w:val="32"/>
          <w:lang w:val="en-GB"/>
        </w:rPr>
        <w:lastRenderedPageBreak/>
        <w:t>Annex</w:t>
      </w:r>
      <w:r w:rsidR="00337616" w:rsidRPr="0089630F">
        <w:rPr>
          <w:color w:val="1F3864" w:themeColor="accent1" w:themeShade="80"/>
          <w:sz w:val="32"/>
          <w:szCs w:val="32"/>
          <w:lang w:val="en-GB"/>
        </w:rPr>
        <w:t xml:space="preserve"> I</w:t>
      </w:r>
    </w:p>
    <w:p w14:paraId="2A1DE54B" w14:textId="4FE260D0" w:rsidR="00590007" w:rsidRPr="0089630F" w:rsidRDefault="00D04659" w:rsidP="0021429B">
      <w:pPr>
        <w:spacing w:before="240" w:after="240"/>
        <w:jc w:val="both"/>
        <w:rPr>
          <w:lang w:val="en-GB"/>
        </w:rPr>
      </w:pPr>
      <w:r w:rsidRPr="0089630F">
        <w:rPr>
          <w:lang w:val="en-GB"/>
        </w:rPr>
        <w:t>If you have f</w:t>
      </w:r>
      <w:r w:rsidR="0052783B" w:rsidRPr="0089630F">
        <w:rPr>
          <w:lang w:val="en-GB"/>
        </w:rPr>
        <w:t>urther questions</w:t>
      </w:r>
      <w:r w:rsidRPr="0089630F">
        <w:rPr>
          <w:lang w:val="en-GB"/>
        </w:rPr>
        <w:t xml:space="preserve">, please address these </w:t>
      </w:r>
      <w:r w:rsidR="0052783B" w:rsidRPr="0089630F">
        <w:rPr>
          <w:lang w:val="en-GB"/>
        </w:rPr>
        <w:t xml:space="preserve">to the UNDRR MTR SF </w:t>
      </w:r>
      <w:r w:rsidR="00CD01AA" w:rsidRPr="0089630F">
        <w:rPr>
          <w:lang w:val="en-GB"/>
        </w:rPr>
        <w:t>team in Geneva</w:t>
      </w:r>
      <w:r w:rsidRPr="0089630F">
        <w:rPr>
          <w:lang w:val="en-GB"/>
        </w:rPr>
        <w:t xml:space="preserve">. </w:t>
      </w:r>
      <w:r w:rsidR="00593E88" w:rsidRPr="0089630F">
        <w:rPr>
          <w:lang w:val="en-GB"/>
        </w:rPr>
        <w:t>Stakeholder reports may also be submitted to the following UNDRR Secretariat personnel.</w:t>
      </w:r>
    </w:p>
    <w:tbl>
      <w:tblPr>
        <w:tblStyle w:val="TableGrid"/>
        <w:tblW w:w="0" w:type="auto"/>
        <w:jc w:val="center"/>
        <w:tblLook w:val="04A0" w:firstRow="1" w:lastRow="0" w:firstColumn="1" w:lastColumn="0" w:noHBand="0" w:noVBand="1"/>
      </w:tblPr>
      <w:tblGrid>
        <w:gridCol w:w="4106"/>
        <w:gridCol w:w="3544"/>
      </w:tblGrid>
      <w:tr w:rsidR="00590007" w:rsidRPr="0089630F" w14:paraId="02969EC2" w14:textId="77777777" w:rsidTr="00A57141">
        <w:trPr>
          <w:trHeight w:val="624"/>
          <w:jc w:val="center"/>
        </w:trPr>
        <w:tc>
          <w:tcPr>
            <w:tcW w:w="7650" w:type="dxa"/>
            <w:gridSpan w:val="2"/>
          </w:tcPr>
          <w:p w14:paraId="57F2398C" w14:textId="77777777" w:rsidR="00590007" w:rsidRPr="0089630F" w:rsidRDefault="00590007" w:rsidP="00A57141">
            <w:pPr>
              <w:spacing w:before="120" w:after="120"/>
              <w:jc w:val="both"/>
              <w:rPr>
                <w:b/>
                <w:bCs/>
                <w:lang w:val="en-GB"/>
              </w:rPr>
            </w:pPr>
            <w:r w:rsidRPr="0089630F">
              <w:rPr>
                <w:b/>
                <w:bCs/>
                <w:lang w:val="en-GB"/>
              </w:rPr>
              <w:t>Headquarters</w:t>
            </w:r>
          </w:p>
        </w:tc>
      </w:tr>
      <w:tr w:rsidR="00756470" w:rsidRPr="0089630F" w14:paraId="6B594DB5" w14:textId="77777777" w:rsidTr="00A57141">
        <w:trPr>
          <w:trHeight w:val="510"/>
          <w:jc w:val="center"/>
        </w:trPr>
        <w:tc>
          <w:tcPr>
            <w:tcW w:w="4106" w:type="dxa"/>
            <w:vAlign w:val="center"/>
          </w:tcPr>
          <w:p w14:paraId="742554FB" w14:textId="1F9E1A99" w:rsidR="00756470" w:rsidRPr="0089630F" w:rsidRDefault="00756470" w:rsidP="00A57141">
            <w:pPr>
              <w:spacing w:before="60" w:after="60"/>
              <w:jc w:val="both"/>
              <w:rPr>
                <w:sz w:val="20"/>
                <w:szCs w:val="20"/>
                <w:lang w:val="en-GB"/>
              </w:rPr>
            </w:pPr>
            <w:r w:rsidRPr="0089630F">
              <w:rPr>
                <w:sz w:val="20"/>
                <w:szCs w:val="20"/>
                <w:lang w:val="en-GB"/>
              </w:rPr>
              <w:t>Aashish</w:t>
            </w:r>
            <w:r w:rsidR="00CD3F6E" w:rsidRPr="0089630F">
              <w:rPr>
                <w:sz w:val="20"/>
                <w:szCs w:val="20"/>
                <w:lang w:val="en-GB"/>
              </w:rPr>
              <w:t xml:space="preserve"> Khullar</w:t>
            </w:r>
          </w:p>
        </w:tc>
        <w:tc>
          <w:tcPr>
            <w:tcW w:w="3544" w:type="dxa"/>
            <w:vAlign w:val="center"/>
          </w:tcPr>
          <w:p w14:paraId="573A1C37" w14:textId="332C5ADA" w:rsidR="00756470" w:rsidRPr="0089630F" w:rsidRDefault="00A040D7" w:rsidP="00A57141">
            <w:pPr>
              <w:spacing w:before="60" w:after="60"/>
              <w:jc w:val="both"/>
              <w:rPr>
                <w:sz w:val="20"/>
                <w:szCs w:val="20"/>
                <w:lang w:val="en-GB"/>
              </w:rPr>
            </w:pPr>
            <w:hyperlink r:id="rId14" w:history="1">
              <w:r w:rsidR="00FA3059" w:rsidRPr="0089630F">
                <w:rPr>
                  <w:rStyle w:val="Hyperlink"/>
                  <w:sz w:val="20"/>
                  <w:szCs w:val="20"/>
                  <w:lang w:val="en-GB"/>
                </w:rPr>
                <w:t>khullar.aashish@gmail.com</w:t>
              </w:r>
            </w:hyperlink>
            <w:r w:rsidR="00FA3059" w:rsidRPr="0089630F">
              <w:rPr>
                <w:sz w:val="20"/>
                <w:szCs w:val="20"/>
                <w:lang w:val="en-GB"/>
              </w:rPr>
              <w:t xml:space="preserve"> </w:t>
            </w:r>
          </w:p>
        </w:tc>
      </w:tr>
      <w:tr w:rsidR="00590007" w:rsidRPr="0089630F" w14:paraId="7FFEE413" w14:textId="77777777" w:rsidTr="00A57141">
        <w:trPr>
          <w:trHeight w:val="510"/>
          <w:jc w:val="center"/>
        </w:trPr>
        <w:tc>
          <w:tcPr>
            <w:tcW w:w="4106" w:type="dxa"/>
            <w:vAlign w:val="center"/>
          </w:tcPr>
          <w:p w14:paraId="6755255B" w14:textId="77777777" w:rsidR="00590007" w:rsidRPr="0089630F" w:rsidRDefault="00590007" w:rsidP="00A57141">
            <w:pPr>
              <w:spacing w:before="60" w:after="60"/>
              <w:jc w:val="both"/>
              <w:rPr>
                <w:sz w:val="20"/>
                <w:szCs w:val="20"/>
                <w:lang w:val="en-GB"/>
              </w:rPr>
            </w:pPr>
            <w:r w:rsidRPr="0089630F">
              <w:rPr>
                <w:sz w:val="20"/>
                <w:szCs w:val="20"/>
                <w:lang w:val="en-GB"/>
              </w:rPr>
              <w:t>Marc Gordon</w:t>
            </w:r>
          </w:p>
        </w:tc>
        <w:tc>
          <w:tcPr>
            <w:tcW w:w="3544" w:type="dxa"/>
            <w:vAlign w:val="center"/>
          </w:tcPr>
          <w:p w14:paraId="48870CB2" w14:textId="6DFEC571" w:rsidR="00590007" w:rsidRPr="0089630F" w:rsidRDefault="00A040D7" w:rsidP="00A57141">
            <w:pPr>
              <w:spacing w:before="60" w:after="60"/>
              <w:jc w:val="both"/>
              <w:rPr>
                <w:sz w:val="20"/>
                <w:szCs w:val="20"/>
                <w:lang w:val="en-GB"/>
              </w:rPr>
            </w:pPr>
            <w:hyperlink r:id="rId15" w:history="1">
              <w:r w:rsidR="00FA3059" w:rsidRPr="0089630F">
                <w:rPr>
                  <w:rStyle w:val="Hyperlink"/>
                  <w:sz w:val="20"/>
                  <w:szCs w:val="20"/>
                  <w:lang w:val="en-GB"/>
                </w:rPr>
                <w:t>gordon6@un.org</w:t>
              </w:r>
            </w:hyperlink>
            <w:r w:rsidR="00590007" w:rsidRPr="0089630F">
              <w:rPr>
                <w:sz w:val="20"/>
                <w:szCs w:val="20"/>
                <w:lang w:val="en-GB"/>
              </w:rPr>
              <w:t xml:space="preserve"> </w:t>
            </w:r>
          </w:p>
        </w:tc>
      </w:tr>
      <w:tr w:rsidR="00590007" w:rsidRPr="0089630F" w14:paraId="78B4E452" w14:textId="77777777" w:rsidTr="00A57141">
        <w:trPr>
          <w:trHeight w:val="510"/>
          <w:jc w:val="center"/>
        </w:trPr>
        <w:tc>
          <w:tcPr>
            <w:tcW w:w="4106" w:type="dxa"/>
            <w:vAlign w:val="center"/>
          </w:tcPr>
          <w:p w14:paraId="70809DD1" w14:textId="77777777" w:rsidR="00590007" w:rsidRPr="0089630F" w:rsidRDefault="00590007" w:rsidP="00A57141">
            <w:pPr>
              <w:spacing w:before="60" w:after="60"/>
              <w:jc w:val="both"/>
              <w:rPr>
                <w:sz w:val="20"/>
                <w:szCs w:val="20"/>
                <w:lang w:val="en-GB"/>
              </w:rPr>
            </w:pPr>
            <w:r w:rsidRPr="0089630F">
              <w:rPr>
                <w:sz w:val="20"/>
                <w:szCs w:val="20"/>
                <w:lang w:val="en-GB"/>
              </w:rPr>
              <w:t>Momoko Nishikawa</w:t>
            </w:r>
          </w:p>
        </w:tc>
        <w:tc>
          <w:tcPr>
            <w:tcW w:w="3544" w:type="dxa"/>
            <w:vAlign w:val="center"/>
          </w:tcPr>
          <w:p w14:paraId="113350F1" w14:textId="77777777" w:rsidR="00590007" w:rsidRPr="0089630F" w:rsidRDefault="00A040D7" w:rsidP="00A57141">
            <w:pPr>
              <w:spacing w:before="60" w:after="60"/>
              <w:jc w:val="both"/>
              <w:rPr>
                <w:sz w:val="20"/>
                <w:szCs w:val="20"/>
                <w:lang w:val="en-GB"/>
              </w:rPr>
            </w:pPr>
            <w:hyperlink r:id="rId16" w:history="1">
              <w:r w:rsidR="00590007" w:rsidRPr="0089630F">
                <w:rPr>
                  <w:rStyle w:val="Hyperlink"/>
                  <w:sz w:val="20"/>
                  <w:szCs w:val="20"/>
                  <w:lang w:val="en-GB"/>
                </w:rPr>
                <w:t>momoko.nishikawa@un.org</w:t>
              </w:r>
            </w:hyperlink>
            <w:r w:rsidR="00590007" w:rsidRPr="0089630F">
              <w:rPr>
                <w:sz w:val="20"/>
                <w:szCs w:val="20"/>
                <w:lang w:val="en-GB"/>
              </w:rPr>
              <w:t xml:space="preserve"> </w:t>
            </w:r>
          </w:p>
        </w:tc>
      </w:tr>
    </w:tbl>
    <w:p w14:paraId="5FCE7A9D" w14:textId="7F4B3A92" w:rsidR="00B93B99" w:rsidRPr="0089630F" w:rsidRDefault="00D66D5E" w:rsidP="00D66D5E">
      <w:pPr>
        <w:spacing w:before="240" w:after="240"/>
        <w:jc w:val="both"/>
        <w:rPr>
          <w:lang w:val="en-GB"/>
        </w:rPr>
      </w:pPr>
      <w:r w:rsidRPr="0089630F">
        <w:rPr>
          <w:lang w:val="en-GB"/>
        </w:rPr>
        <w:t>Region-specific questions may be put to MTR SF focal points in respective regions.</w:t>
      </w:r>
    </w:p>
    <w:tbl>
      <w:tblPr>
        <w:tblStyle w:val="TableGrid"/>
        <w:tblW w:w="0" w:type="auto"/>
        <w:jc w:val="center"/>
        <w:tblLook w:val="04A0" w:firstRow="1" w:lastRow="0" w:firstColumn="1" w:lastColumn="0" w:noHBand="0" w:noVBand="1"/>
      </w:tblPr>
      <w:tblGrid>
        <w:gridCol w:w="4106"/>
        <w:gridCol w:w="3544"/>
      </w:tblGrid>
      <w:tr w:rsidR="00C46556" w:rsidRPr="0089630F" w14:paraId="4653A780" w14:textId="77777777" w:rsidTr="00F96AF3">
        <w:trPr>
          <w:trHeight w:val="624"/>
          <w:jc w:val="center"/>
        </w:trPr>
        <w:tc>
          <w:tcPr>
            <w:tcW w:w="7650" w:type="dxa"/>
            <w:gridSpan w:val="2"/>
            <w:vAlign w:val="center"/>
          </w:tcPr>
          <w:p w14:paraId="1DB510D6" w14:textId="77777777" w:rsidR="00C46556" w:rsidRPr="0089630F" w:rsidRDefault="00C46556" w:rsidP="00231F2E">
            <w:pPr>
              <w:spacing w:before="120" w:after="120"/>
              <w:jc w:val="both"/>
              <w:rPr>
                <w:b/>
                <w:bCs/>
                <w:lang w:val="en-GB"/>
              </w:rPr>
            </w:pPr>
            <w:r w:rsidRPr="0089630F">
              <w:rPr>
                <w:b/>
                <w:bCs/>
                <w:lang w:val="en-GB"/>
              </w:rPr>
              <w:t>Regional Office for Africa</w:t>
            </w:r>
          </w:p>
        </w:tc>
      </w:tr>
      <w:tr w:rsidR="00C46556" w:rsidRPr="0089630F" w14:paraId="6919408D" w14:textId="77777777" w:rsidTr="00F96AF3">
        <w:trPr>
          <w:trHeight w:val="510"/>
          <w:jc w:val="center"/>
        </w:trPr>
        <w:tc>
          <w:tcPr>
            <w:tcW w:w="4106" w:type="dxa"/>
            <w:vAlign w:val="center"/>
          </w:tcPr>
          <w:p w14:paraId="7FE7EF73" w14:textId="77777777" w:rsidR="00C46556" w:rsidRPr="0089630F" w:rsidRDefault="00C46556" w:rsidP="004627B2">
            <w:pPr>
              <w:spacing w:before="60" w:after="60"/>
              <w:jc w:val="both"/>
              <w:rPr>
                <w:sz w:val="20"/>
                <w:szCs w:val="20"/>
                <w:lang w:val="en-GB"/>
              </w:rPr>
            </w:pPr>
            <w:bookmarkStart w:id="2" w:name="_Hlk94264956"/>
            <w:r w:rsidRPr="0089630F">
              <w:rPr>
                <w:sz w:val="20"/>
                <w:szCs w:val="20"/>
                <w:lang w:val="en-GB"/>
              </w:rPr>
              <w:t>Luca Rossi</w:t>
            </w:r>
          </w:p>
        </w:tc>
        <w:tc>
          <w:tcPr>
            <w:tcW w:w="3544" w:type="dxa"/>
            <w:vAlign w:val="center"/>
          </w:tcPr>
          <w:p w14:paraId="7FD9FF04" w14:textId="332CFC7A" w:rsidR="00C46556" w:rsidRPr="0089630F" w:rsidRDefault="00A040D7" w:rsidP="004627B2">
            <w:pPr>
              <w:spacing w:before="60" w:after="60"/>
              <w:jc w:val="both"/>
              <w:rPr>
                <w:sz w:val="20"/>
                <w:szCs w:val="20"/>
                <w:lang w:val="en-GB"/>
              </w:rPr>
            </w:pPr>
            <w:hyperlink r:id="rId17" w:history="1">
              <w:r w:rsidR="00B55FB2" w:rsidRPr="0089630F">
                <w:rPr>
                  <w:rStyle w:val="Hyperlink"/>
                  <w:sz w:val="20"/>
                  <w:szCs w:val="20"/>
                  <w:lang w:val="en-GB"/>
                </w:rPr>
                <w:t>rossil@un.org</w:t>
              </w:r>
            </w:hyperlink>
            <w:r w:rsidR="00B55FB2" w:rsidRPr="0089630F">
              <w:rPr>
                <w:sz w:val="20"/>
                <w:szCs w:val="20"/>
                <w:lang w:val="en-GB"/>
              </w:rPr>
              <w:t xml:space="preserve"> </w:t>
            </w:r>
          </w:p>
        </w:tc>
      </w:tr>
      <w:tr w:rsidR="00251DE9" w:rsidRPr="0089630F" w14:paraId="35E612A7" w14:textId="77777777" w:rsidTr="00F96AF3">
        <w:trPr>
          <w:trHeight w:val="510"/>
          <w:jc w:val="center"/>
        </w:trPr>
        <w:tc>
          <w:tcPr>
            <w:tcW w:w="4106" w:type="dxa"/>
            <w:vAlign w:val="center"/>
          </w:tcPr>
          <w:p w14:paraId="32A6DD9D" w14:textId="77777777" w:rsidR="00251DE9" w:rsidRPr="0089630F" w:rsidRDefault="00251DE9" w:rsidP="007B4410">
            <w:pPr>
              <w:spacing w:before="60" w:after="60"/>
              <w:jc w:val="both"/>
              <w:rPr>
                <w:sz w:val="20"/>
                <w:szCs w:val="20"/>
                <w:lang w:val="en-GB"/>
              </w:rPr>
            </w:pPr>
            <w:r>
              <w:rPr>
                <w:sz w:val="20"/>
                <w:szCs w:val="20"/>
                <w:lang w:val="en-GB"/>
              </w:rPr>
              <w:t>Roberto Schiano Lomoriello</w:t>
            </w:r>
          </w:p>
        </w:tc>
        <w:tc>
          <w:tcPr>
            <w:tcW w:w="3544" w:type="dxa"/>
            <w:vAlign w:val="center"/>
          </w:tcPr>
          <w:p w14:paraId="4690A3BB" w14:textId="4ADEDC55" w:rsidR="00251DE9" w:rsidRPr="007B4410" w:rsidRDefault="00A040D7" w:rsidP="007B4410">
            <w:pPr>
              <w:spacing w:before="60" w:after="60"/>
              <w:jc w:val="both"/>
              <w:rPr>
                <w:sz w:val="20"/>
                <w:szCs w:val="20"/>
                <w:lang w:val="en-GB"/>
              </w:rPr>
            </w:pPr>
            <w:hyperlink r:id="rId18" w:history="1">
              <w:r w:rsidR="00F96AF3" w:rsidRPr="00AE26C9">
                <w:rPr>
                  <w:rStyle w:val="Hyperlink"/>
                  <w:sz w:val="20"/>
                  <w:szCs w:val="20"/>
                </w:rPr>
                <w:t>roberto.schianolomoriello@un.org</w:t>
              </w:r>
            </w:hyperlink>
            <w:r w:rsidR="00F96AF3">
              <w:rPr>
                <w:sz w:val="20"/>
                <w:szCs w:val="20"/>
              </w:rPr>
              <w:t xml:space="preserve"> </w:t>
            </w:r>
          </w:p>
        </w:tc>
      </w:tr>
      <w:bookmarkEnd w:id="2"/>
      <w:tr w:rsidR="00821CBF" w:rsidRPr="0089630F" w14:paraId="0549F698" w14:textId="77777777" w:rsidTr="00F96AF3">
        <w:trPr>
          <w:trHeight w:val="624"/>
          <w:jc w:val="center"/>
        </w:trPr>
        <w:tc>
          <w:tcPr>
            <w:tcW w:w="7650" w:type="dxa"/>
            <w:gridSpan w:val="2"/>
            <w:vAlign w:val="center"/>
          </w:tcPr>
          <w:p w14:paraId="2E441798" w14:textId="18DC6008" w:rsidR="00821CBF" w:rsidRPr="0089630F" w:rsidRDefault="00821CBF" w:rsidP="004627B2">
            <w:pPr>
              <w:spacing w:before="120" w:after="120"/>
              <w:jc w:val="both"/>
              <w:rPr>
                <w:b/>
                <w:bCs/>
                <w:lang w:val="en-GB"/>
              </w:rPr>
            </w:pPr>
            <w:r w:rsidRPr="0089630F">
              <w:rPr>
                <w:b/>
                <w:bCs/>
                <w:lang w:val="en-GB"/>
              </w:rPr>
              <w:t xml:space="preserve">Regional Office for the Americas and the </w:t>
            </w:r>
            <w:r w:rsidR="002E1A83" w:rsidRPr="0089630F">
              <w:rPr>
                <w:b/>
                <w:bCs/>
                <w:lang w:val="en-GB"/>
              </w:rPr>
              <w:t>Caribbean</w:t>
            </w:r>
          </w:p>
        </w:tc>
      </w:tr>
      <w:tr w:rsidR="00BE1A1E" w:rsidRPr="0089630F" w14:paraId="354B7DB3" w14:textId="77777777" w:rsidTr="00F96AF3">
        <w:trPr>
          <w:trHeight w:val="510"/>
          <w:jc w:val="center"/>
        </w:trPr>
        <w:tc>
          <w:tcPr>
            <w:tcW w:w="4106" w:type="dxa"/>
            <w:vAlign w:val="center"/>
          </w:tcPr>
          <w:p w14:paraId="45A65F72" w14:textId="2C3E871D" w:rsidR="00BE1A1E" w:rsidRPr="0089630F" w:rsidRDefault="00821CBF" w:rsidP="004627B2">
            <w:pPr>
              <w:spacing w:before="60" w:after="60"/>
              <w:jc w:val="both"/>
              <w:rPr>
                <w:sz w:val="20"/>
                <w:szCs w:val="20"/>
                <w:lang w:val="en-GB"/>
              </w:rPr>
            </w:pPr>
            <w:r w:rsidRPr="0089630F">
              <w:rPr>
                <w:sz w:val="20"/>
                <w:szCs w:val="20"/>
                <w:lang w:val="en-GB"/>
              </w:rPr>
              <w:t>Nahuel Arenas</w:t>
            </w:r>
            <w:r w:rsidR="008C5238" w:rsidRPr="0089630F">
              <w:rPr>
                <w:sz w:val="20"/>
                <w:szCs w:val="20"/>
                <w:lang w:val="en-GB"/>
              </w:rPr>
              <w:t xml:space="preserve"> Garcia</w:t>
            </w:r>
          </w:p>
        </w:tc>
        <w:tc>
          <w:tcPr>
            <w:tcW w:w="3544" w:type="dxa"/>
            <w:vAlign w:val="center"/>
          </w:tcPr>
          <w:p w14:paraId="4D61A032" w14:textId="0DF07A4D" w:rsidR="00BE1A1E" w:rsidRPr="0089630F" w:rsidRDefault="00A040D7" w:rsidP="004627B2">
            <w:pPr>
              <w:spacing w:before="60" w:after="60"/>
              <w:jc w:val="both"/>
              <w:rPr>
                <w:sz w:val="20"/>
                <w:szCs w:val="20"/>
                <w:lang w:val="en-GB"/>
              </w:rPr>
            </w:pPr>
            <w:hyperlink r:id="rId19" w:history="1">
              <w:r w:rsidR="00B55FB2" w:rsidRPr="0089630F">
                <w:rPr>
                  <w:rStyle w:val="Hyperlink"/>
                  <w:sz w:val="20"/>
                  <w:szCs w:val="20"/>
                  <w:lang w:val="en-GB"/>
                </w:rPr>
                <w:t>nahuel.arenasgarcia@un.org</w:t>
              </w:r>
            </w:hyperlink>
            <w:r w:rsidR="00B55FB2" w:rsidRPr="0089630F">
              <w:rPr>
                <w:sz w:val="20"/>
                <w:szCs w:val="20"/>
                <w:lang w:val="en-GB"/>
              </w:rPr>
              <w:t xml:space="preserve"> </w:t>
            </w:r>
          </w:p>
        </w:tc>
      </w:tr>
      <w:tr w:rsidR="00BE1A1E" w:rsidRPr="0089630F" w14:paraId="10999E90" w14:textId="77777777" w:rsidTr="00F96AF3">
        <w:trPr>
          <w:trHeight w:val="510"/>
          <w:jc w:val="center"/>
        </w:trPr>
        <w:tc>
          <w:tcPr>
            <w:tcW w:w="4106" w:type="dxa"/>
            <w:vAlign w:val="center"/>
          </w:tcPr>
          <w:p w14:paraId="2C220635" w14:textId="243B7582" w:rsidR="00BE1A1E" w:rsidRPr="0089630F" w:rsidRDefault="00FB4F0C" w:rsidP="004627B2">
            <w:pPr>
              <w:spacing w:before="60" w:after="60"/>
              <w:jc w:val="both"/>
              <w:rPr>
                <w:sz w:val="20"/>
                <w:szCs w:val="20"/>
                <w:lang w:val="en-GB"/>
              </w:rPr>
            </w:pPr>
            <w:r w:rsidRPr="0089630F">
              <w:rPr>
                <w:sz w:val="20"/>
                <w:szCs w:val="20"/>
                <w:lang w:val="en-GB"/>
              </w:rPr>
              <w:t>Jennifer Guralnick</w:t>
            </w:r>
          </w:p>
        </w:tc>
        <w:tc>
          <w:tcPr>
            <w:tcW w:w="3544" w:type="dxa"/>
            <w:vAlign w:val="center"/>
          </w:tcPr>
          <w:p w14:paraId="45E22B08" w14:textId="66B412F6" w:rsidR="00BE1A1E" w:rsidRPr="0089630F" w:rsidRDefault="00A040D7" w:rsidP="004627B2">
            <w:pPr>
              <w:spacing w:before="60" w:after="60"/>
              <w:jc w:val="both"/>
              <w:rPr>
                <w:sz w:val="20"/>
                <w:szCs w:val="20"/>
                <w:lang w:val="en-GB"/>
              </w:rPr>
            </w:pPr>
            <w:hyperlink r:id="rId20" w:history="1">
              <w:r w:rsidR="00B55FB2" w:rsidRPr="0089630F">
                <w:rPr>
                  <w:rStyle w:val="Hyperlink"/>
                  <w:sz w:val="20"/>
                  <w:szCs w:val="20"/>
                  <w:lang w:val="en-GB"/>
                </w:rPr>
                <w:t>guralnick@un.org</w:t>
              </w:r>
            </w:hyperlink>
            <w:r w:rsidR="00B55FB2" w:rsidRPr="0089630F">
              <w:rPr>
                <w:sz w:val="20"/>
                <w:szCs w:val="20"/>
                <w:lang w:val="en-GB"/>
              </w:rPr>
              <w:t xml:space="preserve"> </w:t>
            </w:r>
          </w:p>
        </w:tc>
      </w:tr>
      <w:tr w:rsidR="00C46556" w:rsidRPr="0089630F" w14:paraId="3F61504A" w14:textId="77777777" w:rsidTr="00F96AF3">
        <w:trPr>
          <w:trHeight w:val="479"/>
          <w:jc w:val="center"/>
        </w:trPr>
        <w:tc>
          <w:tcPr>
            <w:tcW w:w="7650" w:type="dxa"/>
            <w:gridSpan w:val="2"/>
            <w:vAlign w:val="center"/>
          </w:tcPr>
          <w:p w14:paraId="22700AF6" w14:textId="77777777" w:rsidR="00C46556" w:rsidRPr="0089630F" w:rsidRDefault="00C46556" w:rsidP="00231F2E">
            <w:pPr>
              <w:spacing w:before="120" w:after="120"/>
              <w:jc w:val="both"/>
              <w:rPr>
                <w:b/>
                <w:bCs/>
                <w:lang w:val="en-GB"/>
              </w:rPr>
            </w:pPr>
            <w:r w:rsidRPr="0089630F">
              <w:rPr>
                <w:b/>
                <w:bCs/>
                <w:lang w:val="en-GB"/>
              </w:rPr>
              <w:t>Regional Office for the Arab States</w:t>
            </w:r>
          </w:p>
        </w:tc>
      </w:tr>
      <w:tr w:rsidR="00C46556" w:rsidRPr="0089630F" w14:paraId="1AFB1982" w14:textId="77777777" w:rsidTr="00F96AF3">
        <w:trPr>
          <w:trHeight w:val="510"/>
          <w:jc w:val="center"/>
        </w:trPr>
        <w:tc>
          <w:tcPr>
            <w:tcW w:w="4106" w:type="dxa"/>
            <w:vAlign w:val="center"/>
          </w:tcPr>
          <w:p w14:paraId="13520752" w14:textId="77777777" w:rsidR="00C46556" w:rsidRPr="0089630F" w:rsidRDefault="00C46556" w:rsidP="004627B2">
            <w:pPr>
              <w:spacing w:before="60" w:after="60"/>
              <w:jc w:val="both"/>
              <w:rPr>
                <w:sz w:val="20"/>
                <w:szCs w:val="20"/>
                <w:lang w:val="en-GB"/>
              </w:rPr>
            </w:pPr>
            <w:r w:rsidRPr="0089630F">
              <w:rPr>
                <w:sz w:val="20"/>
                <w:szCs w:val="20"/>
                <w:lang w:val="en-GB"/>
              </w:rPr>
              <w:t>Fadi Jannan</w:t>
            </w:r>
          </w:p>
        </w:tc>
        <w:tc>
          <w:tcPr>
            <w:tcW w:w="3544" w:type="dxa"/>
            <w:vAlign w:val="center"/>
          </w:tcPr>
          <w:p w14:paraId="4CEF7F7F" w14:textId="4E63A97F" w:rsidR="00C46556" w:rsidRPr="0089630F" w:rsidRDefault="00A040D7" w:rsidP="004627B2">
            <w:pPr>
              <w:spacing w:before="60" w:after="60"/>
              <w:jc w:val="both"/>
              <w:rPr>
                <w:sz w:val="20"/>
                <w:szCs w:val="20"/>
                <w:lang w:val="en-GB"/>
              </w:rPr>
            </w:pPr>
            <w:hyperlink r:id="rId21" w:history="1">
              <w:r w:rsidR="00B55FB2" w:rsidRPr="0089630F">
                <w:rPr>
                  <w:rStyle w:val="Hyperlink"/>
                  <w:sz w:val="20"/>
                  <w:szCs w:val="20"/>
                  <w:lang w:val="en-GB"/>
                </w:rPr>
                <w:t>jannan@un.org</w:t>
              </w:r>
            </w:hyperlink>
            <w:r w:rsidR="00B55FB2" w:rsidRPr="0089630F">
              <w:rPr>
                <w:sz w:val="20"/>
                <w:szCs w:val="20"/>
                <w:lang w:val="en-GB"/>
              </w:rPr>
              <w:t xml:space="preserve"> </w:t>
            </w:r>
          </w:p>
        </w:tc>
      </w:tr>
      <w:tr w:rsidR="00C46556" w:rsidRPr="0089630F" w14:paraId="52B37C0A" w14:textId="77777777" w:rsidTr="00F96AF3">
        <w:trPr>
          <w:trHeight w:val="510"/>
          <w:jc w:val="center"/>
        </w:trPr>
        <w:tc>
          <w:tcPr>
            <w:tcW w:w="4106" w:type="dxa"/>
            <w:vAlign w:val="center"/>
          </w:tcPr>
          <w:p w14:paraId="2E0E590F" w14:textId="77777777" w:rsidR="00C46556" w:rsidRPr="0089630F" w:rsidRDefault="00C46556" w:rsidP="004627B2">
            <w:pPr>
              <w:spacing w:before="60" w:after="60"/>
              <w:jc w:val="both"/>
              <w:rPr>
                <w:sz w:val="20"/>
                <w:szCs w:val="20"/>
                <w:lang w:val="en-GB"/>
              </w:rPr>
            </w:pPr>
            <w:r w:rsidRPr="0089630F">
              <w:rPr>
                <w:sz w:val="20"/>
                <w:szCs w:val="20"/>
                <w:lang w:val="en-GB"/>
              </w:rPr>
              <w:t>Mirna Abu Ata</w:t>
            </w:r>
          </w:p>
        </w:tc>
        <w:tc>
          <w:tcPr>
            <w:tcW w:w="3544" w:type="dxa"/>
            <w:vAlign w:val="center"/>
          </w:tcPr>
          <w:p w14:paraId="777B5D34" w14:textId="79DC8EF9" w:rsidR="00C46556" w:rsidRPr="0089630F" w:rsidRDefault="00A040D7" w:rsidP="004627B2">
            <w:pPr>
              <w:spacing w:before="60" w:after="60"/>
              <w:jc w:val="both"/>
              <w:rPr>
                <w:sz w:val="20"/>
                <w:szCs w:val="20"/>
                <w:lang w:val="en-GB"/>
              </w:rPr>
            </w:pPr>
            <w:hyperlink r:id="rId22" w:history="1">
              <w:r w:rsidR="00B55FB2" w:rsidRPr="0089630F">
                <w:rPr>
                  <w:rStyle w:val="Hyperlink"/>
                  <w:sz w:val="20"/>
                  <w:szCs w:val="20"/>
                  <w:lang w:val="en-GB"/>
                </w:rPr>
                <w:t>abuata@un.org</w:t>
              </w:r>
            </w:hyperlink>
            <w:r w:rsidR="00B55FB2" w:rsidRPr="0089630F">
              <w:rPr>
                <w:sz w:val="20"/>
                <w:szCs w:val="20"/>
                <w:lang w:val="en-GB"/>
              </w:rPr>
              <w:t xml:space="preserve"> </w:t>
            </w:r>
          </w:p>
        </w:tc>
      </w:tr>
      <w:tr w:rsidR="00C46556" w:rsidRPr="0089630F" w14:paraId="56C52556" w14:textId="77777777" w:rsidTr="00F96AF3">
        <w:trPr>
          <w:trHeight w:val="624"/>
          <w:jc w:val="center"/>
        </w:trPr>
        <w:tc>
          <w:tcPr>
            <w:tcW w:w="7650" w:type="dxa"/>
            <w:gridSpan w:val="2"/>
            <w:vAlign w:val="center"/>
          </w:tcPr>
          <w:p w14:paraId="6AF86846" w14:textId="77777777" w:rsidR="00C46556" w:rsidRPr="0089630F" w:rsidRDefault="00C46556" w:rsidP="00231F2E">
            <w:pPr>
              <w:spacing w:before="120" w:after="120"/>
              <w:jc w:val="both"/>
              <w:rPr>
                <w:b/>
                <w:bCs/>
                <w:lang w:val="en-GB"/>
              </w:rPr>
            </w:pPr>
            <w:r w:rsidRPr="0089630F">
              <w:rPr>
                <w:b/>
                <w:bCs/>
                <w:lang w:val="en-GB"/>
              </w:rPr>
              <w:t>Regional Office for Asia and the Pacific</w:t>
            </w:r>
          </w:p>
        </w:tc>
      </w:tr>
      <w:tr w:rsidR="00C46556" w:rsidRPr="0089630F" w14:paraId="15792060" w14:textId="77777777" w:rsidTr="00F96AF3">
        <w:trPr>
          <w:trHeight w:val="510"/>
          <w:jc w:val="center"/>
        </w:trPr>
        <w:tc>
          <w:tcPr>
            <w:tcW w:w="4106" w:type="dxa"/>
            <w:vAlign w:val="center"/>
          </w:tcPr>
          <w:p w14:paraId="64364143" w14:textId="77777777" w:rsidR="00C46556" w:rsidRPr="0089630F" w:rsidRDefault="00C46556" w:rsidP="004627B2">
            <w:pPr>
              <w:spacing w:before="60" w:after="60"/>
              <w:jc w:val="both"/>
              <w:rPr>
                <w:sz w:val="20"/>
                <w:szCs w:val="20"/>
                <w:lang w:val="en-GB"/>
              </w:rPr>
            </w:pPr>
            <w:r w:rsidRPr="0089630F">
              <w:rPr>
                <w:sz w:val="20"/>
                <w:szCs w:val="20"/>
                <w:lang w:val="en-GB"/>
              </w:rPr>
              <w:t>Diana Mosquera Calle</w:t>
            </w:r>
          </w:p>
        </w:tc>
        <w:tc>
          <w:tcPr>
            <w:tcW w:w="3544" w:type="dxa"/>
            <w:vAlign w:val="center"/>
          </w:tcPr>
          <w:p w14:paraId="10728C32" w14:textId="42811043" w:rsidR="00C46556" w:rsidRPr="0089630F" w:rsidRDefault="00A040D7" w:rsidP="004627B2">
            <w:pPr>
              <w:spacing w:before="60" w:after="60"/>
              <w:jc w:val="both"/>
              <w:rPr>
                <w:sz w:val="20"/>
                <w:szCs w:val="20"/>
                <w:lang w:val="en-GB"/>
              </w:rPr>
            </w:pPr>
            <w:hyperlink r:id="rId23" w:history="1">
              <w:r w:rsidR="00B55FB2" w:rsidRPr="0089630F">
                <w:rPr>
                  <w:rStyle w:val="Hyperlink"/>
                  <w:sz w:val="20"/>
                  <w:szCs w:val="20"/>
                  <w:lang w:val="en-GB"/>
                </w:rPr>
                <w:t>diana.mosquera@un.org</w:t>
              </w:r>
            </w:hyperlink>
            <w:r w:rsidR="00B55FB2" w:rsidRPr="0089630F">
              <w:rPr>
                <w:sz w:val="20"/>
                <w:szCs w:val="20"/>
                <w:lang w:val="en-GB"/>
              </w:rPr>
              <w:t xml:space="preserve"> </w:t>
            </w:r>
          </w:p>
        </w:tc>
      </w:tr>
      <w:tr w:rsidR="00C46556" w:rsidRPr="0089630F" w14:paraId="7AE4F27E" w14:textId="77777777" w:rsidTr="00F96AF3">
        <w:trPr>
          <w:trHeight w:val="510"/>
          <w:jc w:val="center"/>
        </w:trPr>
        <w:tc>
          <w:tcPr>
            <w:tcW w:w="4106" w:type="dxa"/>
            <w:vAlign w:val="center"/>
          </w:tcPr>
          <w:p w14:paraId="62DBBDEB" w14:textId="77777777" w:rsidR="00C46556" w:rsidRPr="0089630F" w:rsidRDefault="00C46556" w:rsidP="004627B2">
            <w:pPr>
              <w:spacing w:before="60" w:after="60"/>
              <w:jc w:val="both"/>
              <w:rPr>
                <w:sz w:val="20"/>
                <w:szCs w:val="20"/>
                <w:lang w:val="en-GB"/>
              </w:rPr>
            </w:pPr>
            <w:r w:rsidRPr="0089630F">
              <w:rPr>
                <w:sz w:val="20"/>
                <w:szCs w:val="20"/>
                <w:lang w:val="en-GB"/>
              </w:rPr>
              <w:t>Iria Touzon Calle</w:t>
            </w:r>
          </w:p>
        </w:tc>
        <w:tc>
          <w:tcPr>
            <w:tcW w:w="3544" w:type="dxa"/>
            <w:vAlign w:val="center"/>
          </w:tcPr>
          <w:p w14:paraId="2311BF4F" w14:textId="2E496A2A" w:rsidR="00C46556" w:rsidRPr="0089630F" w:rsidRDefault="00A040D7" w:rsidP="004627B2">
            <w:pPr>
              <w:spacing w:before="60" w:after="60"/>
              <w:jc w:val="both"/>
              <w:rPr>
                <w:sz w:val="20"/>
                <w:szCs w:val="20"/>
                <w:lang w:val="en-GB"/>
              </w:rPr>
            </w:pPr>
            <w:hyperlink r:id="rId24" w:history="1">
              <w:r w:rsidR="00B55FB2" w:rsidRPr="0089630F">
                <w:rPr>
                  <w:rStyle w:val="Hyperlink"/>
                  <w:sz w:val="20"/>
                  <w:szCs w:val="20"/>
                  <w:lang w:val="en-GB"/>
                </w:rPr>
                <w:t>iria.touzoncalle@un.org</w:t>
              </w:r>
            </w:hyperlink>
            <w:r w:rsidR="00B55FB2" w:rsidRPr="0089630F">
              <w:rPr>
                <w:sz w:val="20"/>
                <w:szCs w:val="20"/>
                <w:lang w:val="en-GB"/>
              </w:rPr>
              <w:t xml:space="preserve"> </w:t>
            </w:r>
          </w:p>
        </w:tc>
      </w:tr>
      <w:tr w:rsidR="00821CBF" w:rsidRPr="0089630F" w14:paraId="43A7C181" w14:textId="77777777" w:rsidTr="00F96AF3">
        <w:trPr>
          <w:trHeight w:val="624"/>
          <w:jc w:val="center"/>
        </w:trPr>
        <w:tc>
          <w:tcPr>
            <w:tcW w:w="7650" w:type="dxa"/>
            <w:gridSpan w:val="2"/>
            <w:vAlign w:val="center"/>
          </w:tcPr>
          <w:p w14:paraId="41250118" w14:textId="0EABA0E1" w:rsidR="00821CBF" w:rsidRPr="0089630F" w:rsidRDefault="00821CBF" w:rsidP="004627B2">
            <w:pPr>
              <w:spacing w:before="120" w:after="120"/>
              <w:jc w:val="both"/>
              <w:rPr>
                <w:b/>
                <w:bCs/>
                <w:lang w:val="en-GB"/>
              </w:rPr>
            </w:pPr>
            <w:r w:rsidRPr="0089630F">
              <w:rPr>
                <w:b/>
                <w:bCs/>
                <w:lang w:val="en-GB"/>
              </w:rPr>
              <w:t xml:space="preserve">Regional Office for </w:t>
            </w:r>
            <w:r w:rsidR="00A661D1" w:rsidRPr="0089630F">
              <w:rPr>
                <w:b/>
                <w:bCs/>
                <w:lang w:val="en-GB"/>
              </w:rPr>
              <w:t>Europe and Central Asia</w:t>
            </w:r>
          </w:p>
        </w:tc>
      </w:tr>
      <w:tr w:rsidR="00FC4C9A" w:rsidRPr="0089630F" w14:paraId="75899031" w14:textId="77777777" w:rsidTr="00F96AF3">
        <w:trPr>
          <w:trHeight w:val="510"/>
          <w:jc w:val="center"/>
        </w:trPr>
        <w:tc>
          <w:tcPr>
            <w:tcW w:w="4106" w:type="dxa"/>
            <w:vAlign w:val="center"/>
          </w:tcPr>
          <w:p w14:paraId="6C39A32B" w14:textId="77777777" w:rsidR="00FC4C9A" w:rsidRPr="0089630F" w:rsidRDefault="00FC4C9A" w:rsidP="004627B2">
            <w:pPr>
              <w:spacing w:before="60" w:after="60"/>
              <w:jc w:val="both"/>
              <w:rPr>
                <w:sz w:val="20"/>
                <w:szCs w:val="20"/>
                <w:lang w:val="en-GB"/>
              </w:rPr>
            </w:pPr>
            <w:r w:rsidRPr="0089630F">
              <w:rPr>
                <w:sz w:val="20"/>
                <w:szCs w:val="20"/>
                <w:lang w:val="en-GB"/>
              </w:rPr>
              <w:t>Sebastien Penzini</w:t>
            </w:r>
          </w:p>
        </w:tc>
        <w:tc>
          <w:tcPr>
            <w:tcW w:w="3544" w:type="dxa"/>
            <w:vAlign w:val="center"/>
          </w:tcPr>
          <w:p w14:paraId="7A359B09" w14:textId="7DAEC224" w:rsidR="00FC4C9A" w:rsidRPr="0089630F" w:rsidRDefault="00A040D7" w:rsidP="004627B2">
            <w:pPr>
              <w:spacing w:before="60" w:after="60"/>
              <w:jc w:val="both"/>
              <w:rPr>
                <w:sz w:val="20"/>
                <w:szCs w:val="20"/>
                <w:lang w:val="en-GB"/>
              </w:rPr>
            </w:pPr>
            <w:hyperlink r:id="rId25" w:history="1">
              <w:r w:rsidR="00B55FB2" w:rsidRPr="0089630F">
                <w:rPr>
                  <w:rStyle w:val="Hyperlink"/>
                  <w:sz w:val="20"/>
                  <w:szCs w:val="20"/>
                  <w:lang w:val="en-GB"/>
                </w:rPr>
                <w:t>penzini@un.org</w:t>
              </w:r>
            </w:hyperlink>
            <w:r w:rsidR="00B55FB2" w:rsidRPr="0089630F">
              <w:rPr>
                <w:sz w:val="20"/>
                <w:szCs w:val="20"/>
                <w:lang w:val="en-GB"/>
              </w:rPr>
              <w:t xml:space="preserve"> </w:t>
            </w:r>
          </w:p>
        </w:tc>
      </w:tr>
      <w:tr w:rsidR="00FC4C9A" w:rsidRPr="0089630F" w14:paraId="694442FB" w14:textId="77777777" w:rsidTr="00F96AF3">
        <w:trPr>
          <w:trHeight w:val="510"/>
          <w:jc w:val="center"/>
        </w:trPr>
        <w:tc>
          <w:tcPr>
            <w:tcW w:w="4106" w:type="dxa"/>
            <w:vAlign w:val="center"/>
          </w:tcPr>
          <w:p w14:paraId="76EAD607" w14:textId="424A697F" w:rsidR="00FC4C9A" w:rsidRPr="0089630F" w:rsidRDefault="00FC4C9A" w:rsidP="004627B2">
            <w:pPr>
              <w:spacing w:before="60" w:after="60"/>
              <w:jc w:val="both"/>
              <w:rPr>
                <w:sz w:val="20"/>
                <w:szCs w:val="20"/>
                <w:lang w:val="en-GB"/>
              </w:rPr>
            </w:pPr>
            <w:r w:rsidRPr="0089630F">
              <w:rPr>
                <w:sz w:val="20"/>
                <w:szCs w:val="20"/>
                <w:lang w:val="en-GB"/>
              </w:rPr>
              <w:t>Juliet Martinez</w:t>
            </w:r>
          </w:p>
        </w:tc>
        <w:tc>
          <w:tcPr>
            <w:tcW w:w="3544" w:type="dxa"/>
            <w:vAlign w:val="center"/>
          </w:tcPr>
          <w:p w14:paraId="2A21AF06" w14:textId="16ADEED4" w:rsidR="00FC4C9A" w:rsidRPr="0089630F" w:rsidRDefault="00A040D7" w:rsidP="004627B2">
            <w:pPr>
              <w:spacing w:before="60" w:after="60"/>
              <w:jc w:val="both"/>
              <w:rPr>
                <w:sz w:val="20"/>
                <w:szCs w:val="20"/>
                <w:lang w:val="en-GB"/>
              </w:rPr>
            </w:pPr>
            <w:hyperlink r:id="rId26" w:history="1">
              <w:r w:rsidR="00B55FB2" w:rsidRPr="0089630F">
                <w:rPr>
                  <w:rStyle w:val="Hyperlink"/>
                  <w:sz w:val="20"/>
                  <w:szCs w:val="20"/>
                  <w:lang w:val="en-GB"/>
                </w:rPr>
                <w:t>juliet.martinez@un.org</w:t>
              </w:r>
            </w:hyperlink>
            <w:r w:rsidR="00B55FB2" w:rsidRPr="0089630F">
              <w:rPr>
                <w:sz w:val="20"/>
                <w:szCs w:val="20"/>
                <w:lang w:val="en-GB"/>
              </w:rPr>
              <w:t xml:space="preserve"> </w:t>
            </w:r>
          </w:p>
        </w:tc>
      </w:tr>
    </w:tbl>
    <w:p w14:paraId="72D6C324" w14:textId="77777777" w:rsidR="00D60180" w:rsidRPr="0089630F" w:rsidRDefault="00D60180">
      <w:pPr>
        <w:rPr>
          <w:lang w:val="en-GB"/>
        </w:rPr>
      </w:pPr>
      <w:r w:rsidRPr="0089630F">
        <w:rPr>
          <w:lang w:val="en-GB"/>
        </w:rPr>
        <w:br w:type="page"/>
      </w:r>
    </w:p>
    <w:p w14:paraId="13211515" w14:textId="010E2817" w:rsidR="004B444A" w:rsidRPr="0089630F" w:rsidRDefault="004B444A" w:rsidP="004B444A">
      <w:pPr>
        <w:rPr>
          <w:lang w:val="en-GB"/>
        </w:rPr>
      </w:pPr>
    </w:p>
    <w:p w14:paraId="17249B1A" w14:textId="725EF661" w:rsidR="004B444A" w:rsidRPr="0089630F" w:rsidRDefault="004B444A" w:rsidP="004B444A">
      <w:pPr>
        <w:rPr>
          <w:lang w:val="en-GB"/>
        </w:rPr>
      </w:pPr>
    </w:p>
    <w:p w14:paraId="401EECF3" w14:textId="7D74F253" w:rsidR="004B444A" w:rsidRPr="0089630F" w:rsidRDefault="004B444A" w:rsidP="004B444A">
      <w:pPr>
        <w:rPr>
          <w:lang w:val="en-GB"/>
        </w:rPr>
      </w:pPr>
    </w:p>
    <w:p w14:paraId="0A81685F" w14:textId="218DAEB3" w:rsidR="004B444A" w:rsidRPr="0089630F" w:rsidRDefault="004B444A" w:rsidP="004B444A">
      <w:pPr>
        <w:rPr>
          <w:lang w:val="en-GB"/>
        </w:rPr>
      </w:pPr>
    </w:p>
    <w:p w14:paraId="3A1AADD4" w14:textId="2C8B7CCD" w:rsidR="004B444A" w:rsidRPr="0089630F" w:rsidRDefault="004B444A" w:rsidP="004B444A">
      <w:pPr>
        <w:rPr>
          <w:lang w:val="en-GB"/>
        </w:rPr>
      </w:pPr>
    </w:p>
    <w:p w14:paraId="7E3F95B1" w14:textId="685EA39B" w:rsidR="004B444A" w:rsidRPr="0089630F" w:rsidRDefault="004B444A" w:rsidP="004B444A">
      <w:pPr>
        <w:rPr>
          <w:lang w:val="en-GB"/>
        </w:rPr>
      </w:pPr>
    </w:p>
    <w:p w14:paraId="11B75857" w14:textId="41C4ABB7" w:rsidR="004B444A" w:rsidRPr="0089630F" w:rsidRDefault="004B444A" w:rsidP="004B444A">
      <w:pPr>
        <w:rPr>
          <w:lang w:val="en-GB"/>
        </w:rPr>
      </w:pPr>
    </w:p>
    <w:p w14:paraId="30FC6878" w14:textId="5E408707" w:rsidR="004B444A" w:rsidRPr="0089630F" w:rsidRDefault="004B444A" w:rsidP="004B444A">
      <w:pPr>
        <w:rPr>
          <w:lang w:val="en-GB"/>
        </w:rPr>
      </w:pPr>
    </w:p>
    <w:p w14:paraId="6C8903A9" w14:textId="5F5E6EB7" w:rsidR="004B444A" w:rsidRPr="0089630F" w:rsidRDefault="004B444A" w:rsidP="004B444A">
      <w:pPr>
        <w:rPr>
          <w:lang w:val="en-GB"/>
        </w:rPr>
      </w:pPr>
    </w:p>
    <w:p w14:paraId="44CA5A4A" w14:textId="77777777" w:rsidR="004B444A" w:rsidRPr="0089630F" w:rsidRDefault="004B444A" w:rsidP="004B444A">
      <w:pPr>
        <w:rPr>
          <w:lang w:val="en-GB"/>
        </w:rPr>
      </w:pPr>
    </w:p>
    <w:p w14:paraId="77327D53" w14:textId="3AA8FEA7" w:rsidR="004B444A" w:rsidRPr="0089630F" w:rsidRDefault="004B444A" w:rsidP="004B444A">
      <w:pPr>
        <w:spacing w:before="120" w:after="120"/>
        <w:jc w:val="center"/>
        <w:rPr>
          <w:color w:val="1F3864" w:themeColor="accent1" w:themeShade="80"/>
          <w:sz w:val="32"/>
          <w:szCs w:val="32"/>
          <w:lang w:val="en-GB"/>
        </w:rPr>
      </w:pPr>
      <w:r w:rsidRPr="0089630F">
        <w:rPr>
          <w:color w:val="1F3864" w:themeColor="accent1" w:themeShade="80"/>
          <w:sz w:val="32"/>
          <w:szCs w:val="32"/>
          <w:lang w:val="en-GB"/>
        </w:rPr>
        <w:t>Annex II</w:t>
      </w:r>
    </w:p>
    <w:p w14:paraId="4C482D36" w14:textId="07FB4092" w:rsidR="00207CCF" w:rsidRPr="0089630F" w:rsidRDefault="00207CCF" w:rsidP="004B444A">
      <w:pPr>
        <w:spacing w:before="120" w:after="120"/>
        <w:jc w:val="center"/>
        <w:rPr>
          <w:color w:val="2E74B5" w:themeColor="accent5" w:themeShade="BF"/>
          <w:sz w:val="32"/>
          <w:szCs w:val="32"/>
          <w:lang w:val="en-GB"/>
        </w:rPr>
      </w:pPr>
    </w:p>
    <w:p w14:paraId="732DEC9D" w14:textId="77777777" w:rsidR="00D60180" w:rsidRPr="0089630F" w:rsidRDefault="00207CCF" w:rsidP="00207CCF">
      <w:pPr>
        <w:pStyle w:val="Heading1"/>
        <w:spacing w:before="0"/>
        <w:jc w:val="center"/>
        <w:rPr>
          <w:b/>
          <w:bCs/>
          <w:color w:val="C00000"/>
        </w:rPr>
      </w:pPr>
      <w:r w:rsidRPr="0089630F">
        <w:rPr>
          <w:b/>
          <w:bCs/>
          <w:color w:val="2E74B5" w:themeColor="accent5" w:themeShade="BF"/>
        </w:rPr>
        <w:t xml:space="preserve">The Midterm Review of the Implementation of the </w:t>
      </w:r>
      <w:r w:rsidRPr="0089630F">
        <w:rPr>
          <w:b/>
          <w:bCs/>
          <w:color w:val="2E74B5" w:themeColor="accent5" w:themeShade="BF"/>
        </w:rPr>
        <w:br/>
        <w:t>Sendai Framework for Disaster Risk Reduction 2015-2030</w:t>
      </w:r>
      <w:r w:rsidRPr="0089630F">
        <w:rPr>
          <w:b/>
          <w:bCs/>
          <w:color w:val="2E74B5" w:themeColor="accent5" w:themeShade="BF"/>
        </w:rPr>
        <w:br/>
      </w:r>
    </w:p>
    <w:p w14:paraId="1A16CA2C" w14:textId="708D2E16" w:rsidR="00207CCF" w:rsidRPr="0089630F" w:rsidRDefault="00207CCF" w:rsidP="00207CCF">
      <w:pPr>
        <w:pStyle w:val="Heading1"/>
        <w:spacing w:before="0"/>
        <w:jc w:val="center"/>
        <w:rPr>
          <w:b/>
          <w:bCs/>
          <w:color w:val="2E74B5" w:themeColor="accent5" w:themeShade="BF"/>
        </w:rPr>
      </w:pPr>
      <w:r w:rsidRPr="0089630F">
        <w:rPr>
          <w:b/>
          <w:bCs/>
          <w:color w:val="C00000"/>
        </w:rPr>
        <w:t>Concept Note</w:t>
      </w:r>
    </w:p>
    <w:p w14:paraId="4CE8CD3F" w14:textId="77777777" w:rsidR="00207CCF" w:rsidRPr="0089630F" w:rsidRDefault="00207CCF" w:rsidP="004B444A">
      <w:pPr>
        <w:spacing w:before="120" w:after="120"/>
        <w:jc w:val="center"/>
        <w:rPr>
          <w:color w:val="2E74B5" w:themeColor="accent5" w:themeShade="BF"/>
          <w:sz w:val="32"/>
          <w:szCs w:val="32"/>
          <w:lang w:val="en-GB"/>
        </w:rPr>
      </w:pPr>
    </w:p>
    <w:p w14:paraId="5A2DA5CF" w14:textId="23D57280" w:rsidR="004B444A" w:rsidRPr="0089630F" w:rsidRDefault="004B444A" w:rsidP="004B444A">
      <w:pPr>
        <w:rPr>
          <w:lang w:val="en-GB"/>
        </w:rPr>
      </w:pPr>
    </w:p>
    <w:p w14:paraId="19247CC8" w14:textId="77777777" w:rsidR="004B444A" w:rsidRPr="0089630F" w:rsidRDefault="004B444A">
      <w:pPr>
        <w:rPr>
          <w:lang w:val="en-GB"/>
        </w:rPr>
      </w:pPr>
    </w:p>
    <w:p w14:paraId="5B8D9EC6" w14:textId="77777777" w:rsidR="004B444A" w:rsidRPr="0089630F" w:rsidRDefault="004B444A">
      <w:pPr>
        <w:rPr>
          <w:lang w:val="en-GB"/>
        </w:rPr>
        <w:sectPr w:rsidR="004B444A" w:rsidRPr="0089630F" w:rsidSect="00293D04">
          <w:headerReference w:type="default" r:id="rId27"/>
          <w:footerReference w:type="default" r:id="rId28"/>
          <w:pgSz w:w="12240" w:h="15840" w:code="1"/>
          <w:pgMar w:top="1247" w:right="1440" w:bottom="1440" w:left="1440" w:header="567" w:footer="709" w:gutter="0"/>
          <w:cols w:space="708"/>
          <w:docGrid w:linePitch="360"/>
        </w:sectPr>
      </w:pPr>
    </w:p>
    <w:p w14:paraId="72BAA541" w14:textId="77777777" w:rsidR="004B444A" w:rsidRPr="0089630F" w:rsidRDefault="004B444A" w:rsidP="004B444A">
      <w:pPr>
        <w:pStyle w:val="Heading1"/>
        <w:spacing w:before="0"/>
        <w:jc w:val="center"/>
        <w:rPr>
          <w:b/>
          <w:bCs/>
          <w:color w:val="C00000"/>
          <w:sz w:val="36"/>
          <w:szCs w:val="36"/>
        </w:rPr>
      </w:pPr>
      <w:r w:rsidRPr="0089630F">
        <w:rPr>
          <w:b/>
          <w:bCs/>
          <w:sz w:val="36"/>
          <w:szCs w:val="36"/>
        </w:rPr>
        <w:lastRenderedPageBreak/>
        <w:t xml:space="preserve">The Midterm Review of the Implementation of the </w:t>
      </w:r>
      <w:r w:rsidRPr="0089630F">
        <w:rPr>
          <w:b/>
          <w:bCs/>
          <w:sz w:val="36"/>
          <w:szCs w:val="36"/>
        </w:rPr>
        <w:br/>
        <w:t>Sendai Framework for Disaster Risk Reduction 2015-2030</w:t>
      </w:r>
      <w:r w:rsidRPr="0089630F">
        <w:rPr>
          <w:b/>
          <w:bCs/>
          <w:sz w:val="36"/>
          <w:szCs w:val="36"/>
        </w:rPr>
        <w:br/>
      </w:r>
      <w:r w:rsidRPr="0089630F">
        <w:rPr>
          <w:b/>
          <w:bCs/>
          <w:color w:val="C00000"/>
          <w:sz w:val="36"/>
          <w:szCs w:val="36"/>
        </w:rPr>
        <w:t>Concept Note</w:t>
      </w:r>
    </w:p>
    <w:p w14:paraId="7D629423" w14:textId="77777777" w:rsidR="004B444A" w:rsidRPr="0089630F" w:rsidRDefault="004B444A" w:rsidP="000C1DDE">
      <w:pPr>
        <w:pStyle w:val="Heading2"/>
        <w:numPr>
          <w:ilvl w:val="0"/>
          <w:numId w:val="33"/>
        </w:numPr>
        <w:spacing w:before="240" w:after="120"/>
        <w:rPr>
          <w:b/>
          <w:bCs/>
          <w:sz w:val="32"/>
          <w:szCs w:val="32"/>
        </w:rPr>
      </w:pPr>
      <w:r w:rsidRPr="0089630F">
        <w:rPr>
          <w:b/>
          <w:bCs/>
          <w:sz w:val="32"/>
          <w:szCs w:val="32"/>
        </w:rPr>
        <w:t>Scope of Work and Approach</w:t>
      </w:r>
    </w:p>
    <w:p w14:paraId="49DA07B6" w14:textId="77777777" w:rsidR="004B444A" w:rsidRPr="0089630F" w:rsidRDefault="004B444A" w:rsidP="000C1DDE">
      <w:pPr>
        <w:pStyle w:val="Heading3"/>
        <w:numPr>
          <w:ilvl w:val="0"/>
          <w:numId w:val="42"/>
        </w:numPr>
        <w:spacing w:before="240" w:after="120"/>
        <w:rPr>
          <w:color w:val="C00000"/>
          <w:sz w:val="28"/>
          <w:szCs w:val="28"/>
        </w:rPr>
      </w:pPr>
      <w:r w:rsidRPr="0089630F">
        <w:rPr>
          <w:color w:val="C00000"/>
          <w:sz w:val="28"/>
          <w:szCs w:val="28"/>
        </w:rPr>
        <w:t>Introduction</w:t>
      </w:r>
    </w:p>
    <w:p w14:paraId="4C66BAD7" w14:textId="67C86A69" w:rsidR="004B444A" w:rsidRPr="0089630F" w:rsidRDefault="004B444A" w:rsidP="000C1DDE">
      <w:pPr>
        <w:pStyle w:val="ListParagraph"/>
        <w:numPr>
          <w:ilvl w:val="1"/>
          <w:numId w:val="29"/>
        </w:numPr>
        <w:spacing w:before="240" w:after="240"/>
        <w:contextualSpacing w:val="0"/>
        <w:jc w:val="both"/>
        <w:rPr>
          <w:rFonts w:cstheme="minorHAnsi"/>
          <w:lang w:val="en-GB"/>
        </w:rPr>
      </w:pPr>
      <w:r w:rsidRPr="0089630F">
        <w:rPr>
          <w:rFonts w:cstheme="minorHAnsi"/>
          <w:lang w:val="en-GB"/>
        </w:rPr>
        <w:t>The Third United Nations World Conference on Disaster Risk Reduction was convened by decision of the United Nations General Assembly</w:t>
      </w:r>
      <w:r w:rsidRPr="0089630F">
        <w:rPr>
          <w:rFonts w:ascii="ZWAdobeF" w:hAnsi="ZWAdobeF" w:cs="ZWAdobeF"/>
          <w:sz w:val="2"/>
          <w:szCs w:val="2"/>
          <w:lang w:val="en-GB"/>
        </w:rPr>
        <w:t>0F</w:t>
      </w:r>
      <w:r w:rsidR="000C1DDE">
        <w:rPr>
          <w:rFonts w:ascii="ZWAdobeF" w:hAnsi="ZWAdobeF" w:cs="ZWAdobeF"/>
          <w:sz w:val="2"/>
          <w:szCs w:val="2"/>
          <w:lang w:val="en-GB"/>
        </w:rPr>
        <w:t>13F</w:t>
      </w:r>
      <w:r w:rsidRPr="0089630F">
        <w:rPr>
          <w:rStyle w:val="FootnoteReference"/>
          <w:rFonts w:cstheme="minorHAnsi"/>
          <w:lang w:val="en-GB"/>
        </w:rPr>
        <w:footnoteReference w:id="14"/>
      </w:r>
      <w:r w:rsidRPr="0089630F">
        <w:rPr>
          <w:rFonts w:cstheme="minorHAnsi"/>
          <w:lang w:val="en-GB"/>
        </w:rPr>
        <w:t xml:space="preserve"> from 14 to 18 March 2015 in Sendai, Miyagi, Japan, to review the implementation of the Hyogo Framework for Action 2005-2015 (HFA) and to adopt a post-2015 framework for disaster risk reduction. The Sendai Declaration and the </w:t>
      </w:r>
      <w:r w:rsidRPr="0089630F">
        <w:rPr>
          <w:rFonts w:cstheme="minorHAnsi"/>
          <w:i/>
          <w:iCs/>
          <w:lang w:val="en-GB"/>
        </w:rPr>
        <w:t>Sendai Framework for Disaster Risk Reduction 2015-2030</w:t>
      </w:r>
      <w:r w:rsidRPr="0089630F">
        <w:rPr>
          <w:rFonts w:cstheme="minorHAnsi"/>
          <w:lang w:val="en-GB"/>
        </w:rPr>
        <w:t xml:space="preserve"> (Sendai Framework) adopted by the Conference</w:t>
      </w:r>
      <w:r w:rsidRPr="0089630F">
        <w:rPr>
          <w:rFonts w:ascii="ZWAdobeF" w:hAnsi="ZWAdobeF" w:cs="ZWAdobeF"/>
          <w:sz w:val="2"/>
          <w:szCs w:val="2"/>
          <w:lang w:val="en-GB"/>
        </w:rPr>
        <w:t>1F</w:t>
      </w:r>
      <w:r w:rsidR="000C1DDE">
        <w:rPr>
          <w:rFonts w:ascii="ZWAdobeF" w:hAnsi="ZWAdobeF" w:cs="ZWAdobeF"/>
          <w:sz w:val="2"/>
          <w:szCs w:val="2"/>
          <w:lang w:val="en-GB"/>
        </w:rPr>
        <w:t>14F</w:t>
      </w:r>
      <w:r w:rsidRPr="0089630F">
        <w:rPr>
          <w:rStyle w:val="FootnoteReference"/>
          <w:rFonts w:cstheme="minorHAnsi"/>
          <w:lang w:val="en-GB"/>
        </w:rPr>
        <w:footnoteReference w:id="15"/>
      </w:r>
      <w:r w:rsidRPr="0089630F">
        <w:rPr>
          <w:rFonts w:cstheme="minorHAnsi"/>
          <w:lang w:val="en-GB"/>
        </w:rPr>
        <w:t>, were subsequently endorsed by Member States in the United Nations General Assembly</w:t>
      </w:r>
      <w:r w:rsidRPr="0089630F">
        <w:rPr>
          <w:rFonts w:ascii="ZWAdobeF" w:hAnsi="ZWAdobeF" w:cs="ZWAdobeF"/>
          <w:sz w:val="2"/>
          <w:szCs w:val="2"/>
          <w:lang w:val="en-GB"/>
        </w:rPr>
        <w:t>2F</w:t>
      </w:r>
      <w:r w:rsidR="000C1DDE">
        <w:rPr>
          <w:rFonts w:ascii="ZWAdobeF" w:hAnsi="ZWAdobeF" w:cs="ZWAdobeF"/>
          <w:sz w:val="2"/>
          <w:szCs w:val="2"/>
          <w:lang w:val="en-GB"/>
        </w:rPr>
        <w:t>15F</w:t>
      </w:r>
      <w:r w:rsidRPr="0089630F">
        <w:rPr>
          <w:rStyle w:val="FootnoteReference"/>
          <w:rFonts w:cstheme="minorHAnsi"/>
          <w:lang w:val="en-GB"/>
        </w:rPr>
        <w:footnoteReference w:id="16"/>
      </w:r>
      <w:r w:rsidRPr="0089630F">
        <w:rPr>
          <w:rFonts w:cstheme="minorHAnsi"/>
          <w:lang w:val="en-GB"/>
        </w:rPr>
        <w:t>, providing the framework for all-of-society and all-of-State institutions engagement in preventing and reducing disaster risks posed by both natural and man-made hazards and related environmental, technological and biological hazards and risks.</w:t>
      </w:r>
    </w:p>
    <w:p w14:paraId="1C1AAF43" w14:textId="3DE2329B" w:rsidR="004B444A" w:rsidRPr="0089630F" w:rsidRDefault="004B444A" w:rsidP="000C1DDE">
      <w:pPr>
        <w:pStyle w:val="ListParagraph"/>
        <w:numPr>
          <w:ilvl w:val="1"/>
          <w:numId w:val="29"/>
        </w:numPr>
        <w:spacing w:before="240" w:after="240"/>
        <w:contextualSpacing w:val="0"/>
        <w:jc w:val="both"/>
        <w:rPr>
          <w:rFonts w:cstheme="minorHAnsi"/>
          <w:lang w:val="en-GB"/>
        </w:rPr>
      </w:pPr>
      <w:r w:rsidRPr="0089630F">
        <w:rPr>
          <w:rFonts w:cstheme="minorHAnsi"/>
          <w:lang w:val="en-GB"/>
        </w:rPr>
        <w:t xml:space="preserve">The Third United Nations World Conference on Disaster Risk Reduction invited the General Assembly “to consider the possibility of including the review of the global progress in the implementation of the Sendai Framework for Disaster Risk Reduction 2015–2030 as part of its integrated and coordinated follow-up processes to United Nations conferences and summits, aligned with the Economic and Social Council (ECOSOC), the High-level Political Forum for Sustainable Development (HLPF) and the quadrennial comprehensive policy review cycles, </w:t>
      </w:r>
      <w:r w:rsidRPr="0089630F">
        <w:rPr>
          <w:lang w:val="en-GB"/>
        </w:rPr>
        <w:t>taking into account the contributions of the Global Platform[s] for Disaster Risk Reduction and regional platforms for disaster risk reduction”</w:t>
      </w:r>
      <w:r w:rsidRPr="0089630F">
        <w:rPr>
          <w:rFonts w:ascii="ZWAdobeF" w:hAnsi="ZWAdobeF" w:cs="ZWAdobeF"/>
          <w:sz w:val="2"/>
          <w:szCs w:val="2"/>
          <w:lang w:val="en-GB"/>
        </w:rPr>
        <w:t>3F</w:t>
      </w:r>
      <w:r w:rsidR="000C1DDE">
        <w:rPr>
          <w:rFonts w:ascii="ZWAdobeF" w:hAnsi="ZWAdobeF" w:cs="ZWAdobeF"/>
          <w:sz w:val="2"/>
          <w:szCs w:val="2"/>
          <w:lang w:val="en-GB"/>
        </w:rPr>
        <w:t>16F</w:t>
      </w:r>
      <w:r w:rsidRPr="0089630F">
        <w:rPr>
          <w:rStyle w:val="FootnoteReference"/>
          <w:rFonts w:cstheme="minorHAnsi"/>
          <w:lang w:val="en-GB"/>
        </w:rPr>
        <w:footnoteReference w:id="17"/>
      </w:r>
      <w:r w:rsidRPr="0089630F">
        <w:rPr>
          <w:lang w:val="en-GB"/>
        </w:rPr>
        <w:t xml:space="preserve"> and the Sendai Framework Monitor system</w:t>
      </w:r>
      <w:r w:rsidRPr="0089630F">
        <w:rPr>
          <w:rFonts w:cstheme="minorHAnsi"/>
          <w:lang w:val="en-GB"/>
        </w:rPr>
        <w:t xml:space="preserve">. The Sendai Framework also calls upon “the United Nations Office for Disaster Risk Reduction, in particular, to support the implementation, follow-up and review of the Framework </w:t>
      </w:r>
      <w:proofErr w:type="gramStart"/>
      <w:r w:rsidRPr="0089630F">
        <w:rPr>
          <w:rFonts w:cstheme="minorHAnsi"/>
          <w:lang w:val="en-GB"/>
        </w:rPr>
        <w:t>by:</w:t>
      </w:r>
      <w:proofErr w:type="gramEnd"/>
      <w:r w:rsidR="00F45A5B" w:rsidRPr="0089630F">
        <w:rPr>
          <w:rFonts w:cstheme="minorHAnsi"/>
          <w:lang w:val="en-GB"/>
        </w:rPr>
        <w:t xml:space="preserve"> </w:t>
      </w:r>
      <w:r w:rsidRPr="0089630F">
        <w:rPr>
          <w:rFonts w:cstheme="minorHAnsi"/>
          <w:lang w:val="en-GB"/>
        </w:rPr>
        <w:t xml:space="preserve"> preparing periodic reviews on progress, […]as appropriate, in a timely manner, along with the follow-up process at the United Nations”</w:t>
      </w:r>
      <w:r w:rsidRPr="0089630F">
        <w:rPr>
          <w:rFonts w:ascii="ZWAdobeF" w:hAnsi="ZWAdobeF" w:cs="ZWAdobeF"/>
          <w:sz w:val="2"/>
          <w:szCs w:val="2"/>
          <w:lang w:val="en-GB"/>
        </w:rPr>
        <w:t>4F</w:t>
      </w:r>
      <w:r w:rsidR="000C1DDE">
        <w:rPr>
          <w:rFonts w:ascii="ZWAdobeF" w:hAnsi="ZWAdobeF" w:cs="ZWAdobeF"/>
          <w:sz w:val="2"/>
          <w:szCs w:val="2"/>
          <w:lang w:val="en-GB"/>
        </w:rPr>
        <w:t>17F</w:t>
      </w:r>
      <w:r w:rsidRPr="0089630F">
        <w:rPr>
          <w:rStyle w:val="FootnoteReference"/>
          <w:rFonts w:cstheme="minorHAnsi"/>
          <w:lang w:val="en-GB"/>
        </w:rPr>
        <w:footnoteReference w:id="18"/>
      </w:r>
      <w:r w:rsidRPr="0089630F">
        <w:rPr>
          <w:rFonts w:cstheme="minorHAnsi"/>
          <w:lang w:val="en-GB"/>
        </w:rPr>
        <w:t>. Furthermore, the Co-Chair’s Summary of the 6</w:t>
      </w:r>
      <w:r w:rsidRPr="0089630F">
        <w:rPr>
          <w:rFonts w:cstheme="minorHAnsi"/>
          <w:vertAlign w:val="superscript"/>
          <w:lang w:val="en-GB"/>
        </w:rPr>
        <w:t>th</w:t>
      </w:r>
      <w:r w:rsidRPr="0089630F">
        <w:rPr>
          <w:rFonts w:cstheme="minorHAnsi"/>
          <w:lang w:val="en-GB"/>
        </w:rPr>
        <w:t xml:space="preserve"> Session of the Global Platform for Disaster Risk Reduction held in Geneva on 13 – 17 </w:t>
      </w:r>
      <w:proofErr w:type="gramStart"/>
      <w:r w:rsidRPr="0089630F">
        <w:rPr>
          <w:rFonts w:cstheme="minorHAnsi"/>
          <w:lang w:val="en-GB"/>
        </w:rPr>
        <w:t>May,</w:t>
      </w:r>
      <w:proofErr w:type="gramEnd"/>
      <w:r w:rsidRPr="0089630F">
        <w:rPr>
          <w:rFonts w:cstheme="minorHAnsi"/>
          <w:lang w:val="en-GB"/>
        </w:rPr>
        <w:t xml:space="preserve"> 2019 noted </w:t>
      </w:r>
      <w:r w:rsidRPr="0089630F">
        <w:rPr>
          <w:rFonts w:cstheme="minorHAnsi"/>
          <w:color w:val="000000"/>
          <w:lang w:val="en-GB"/>
        </w:rPr>
        <w:t>“the need for a midterm review of the Sendai Framework”.</w:t>
      </w:r>
    </w:p>
    <w:p w14:paraId="46C2590F" w14:textId="322551F5" w:rsidR="004B444A" w:rsidRPr="0089630F" w:rsidRDefault="004B444A" w:rsidP="000C1DDE">
      <w:pPr>
        <w:pStyle w:val="ListParagraph"/>
        <w:numPr>
          <w:ilvl w:val="1"/>
          <w:numId w:val="29"/>
        </w:numPr>
        <w:spacing w:before="240" w:after="240"/>
        <w:contextualSpacing w:val="0"/>
        <w:jc w:val="both"/>
        <w:rPr>
          <w:rFonts w:cstheme="minorHAnsi"/>
          <w:lang w:val="en-GB"/>
        </w:rPr>
      </w:pPr>
      <w:r w:rsidRPr="0089630F">
        <w:rPr>
          <w:rFonts w:cstheme="minorHAnsi"/>
          <w:lang w:val="en-GB"/>
        </w:rPr>
        <w:t>Recognisant that the period to 2023 marks the midpoint in implementing the Sendai Framework, as well as other related agreements, conventions and agendas</w:t>
      </w:r>
      <w:r w:rsidRPr="0089630F">
        <w:rPr>
          <w:rFonts w:ascii="ZWAdobeF" w:hAnsi="ZWAdobeF" w:cs="ZWAdobeF"/>
          <w:sz w:val="2"/>
          <w:szCs w:val="2"/>
          <w:lang w:val="en-GB"/>
        </w:rPr>
        <w:t>5F</w:t>
      </w:r>
      <w:r w:rsidR="000C1DDE">
        <w:rPr>
          <w:rFonts w:ascii="ZWAdobeF" w:hAnsi="ZWAdobeF" w:cs="ZWAdobeF"/>
          <w:sz w:val="2"/>
          <w:szCs w:val="2"/>
          <w:lang w:val="en-GB"/>
        </w:rPr>
        <w:t>18F</w:t>
      </w:r>
      <w:r w:rsidRPr="0089630F">
        <w:rPr>
          <w:rStyle w:val="FootnoteReference"/>
          <w:rFonts w:cstheme="minorHAnsi"/>
          <w:lang w:val="en-GB"/>
        </w:rPr>
        <w:footnoteReference w:id="19"/>
      </w:r>
      <w:r w:rsidRPr="0089630F">
        <w:rPr>
          <w:rFonts w:cstheme="minorHAnsi"/>
          <w:lang w:val="en-GB"/>
        </w:rPr>
        <w:t xml:space="preserve">, in its resolution 75/216 of 21 December 2020, the UN General Assembly decided to “hold a midterm review of the implementation of the Sendai Framework in 2023 to assess progress on integrating disaster risk reduction into policies, programmes and investments at all levels, identify good practice, gaps and challenges and accelerate the path to achieving the goal of the Sendai Framework and its seven </w:t>
      </w:r>
      <w:r w:rsidRPr="0089630F">
        <w:rPr>
          <w:rFonts w:cstheme="minorHAnsi"/>
          <w:lang w:val="en-GB"/>
        </w:rPr>
        <w:lastRenderedPageBreak/>
        <w:t xml:space="preserve">global targets by 2030” emphasizing “that the Sendai Framework….provides </w:t>
      </w:r>
      <w:r w:rsidRPr="0089630F">
        <w:rPr>
          <w:lang w:val="en-GB"/>
        </w:rPr>
        <w:t>guidance relevant to a sustainable recovery from COVID-19 and [….] to identify and address underlying drivers of disaster risk in a systemic manner”</w:t>
      </w:r>
      <w:r w:rsidRPr="0089630F">
        <w:rPr>
          <w:rFonts w:ascii="ZWAdobeF" w:hAnsi="ZWAdobeF" w:cs="ZWAdobeF"/>
          <w:sz w:val="2"/>
          <w:szCs w:val="2"/>
          <w:lang w:val="en-GB"/>
        </w:rPr>
        <w:t>6F</w:t>
      </w:r>
      <w:r w:rsidR="000C1DDE">
        <w:rPr>
          <w:rFonts w:ascii="ZWAdobeF" w:hAnsi="ZWAdobeF" w:cs="ZWAdobeF"/>
          <w:sz w:val="2"/>
          <w:szCs w:val="2"/>
          <w:lang w:val="en-GB"/>
        </w:rPr>
        <w:t>19F</w:t>
      </w:r>
      <w:r w:rsidRPr="0089630F">
        <w:rPr>
          <w:rStyle w:val="FootnoteReference"/>
          <w:rFonts w:cstheme="minorHAnsi"/>
          <w:lang w:val="en-GB"/>
        </w:rPr>
        <w:footnoteReference w:id="20"/>
      </w:r>
      <w:r w:rsidRPr="0089630F">
        <w:rPr>
          <w:rFonts w:cstheme="minorHAnsi"/>
          <w:lang w:val="en-GB"/>
        </w:rPr>
        <w:t xml:space="preserve">. </w:t>
      </w:r>
    </w:p>
    <w:p w14:paraId="28DF6560" w14:textId="5CC5EEEE" w:rsidR="004B444A" w:rsidRPr="0089630F" w:rsidRDefault="004B444A" w:rsidP="000C1DDE">
      <w:pPr>
        <w:pStyle w:val="ListParagraph"/>
        <w:numPr>
          <w:ilvl w:val="1"/>
          <w:numId w:val="29"/>
        </w:numPr>
        <w:spacing w:before="240" w:after="240"/>
        <w:contextualSpacing w:val="0"/>
        <w:jc w:val="both"/>
        <w:rPr>
          <w:rFonts w:cstheme="minorHAnsi"/>
          <w:lang w:val="en-GB"/>
        </w:rPr>
      </w:pPr>
      <w:r w:rsidRPr="0089630F">
        <w:rPr>
          <w:lang w:val="en-GB"/>
        </w:rPr>
        <w:t>In his 2020 report to the UN General Assembly on the implementation of the Sendai Framework</w:t>
      </w:r>
      <w:r w:rsidRPr="0089630F">
        <w:rPr>
          <w:rFonts w:ascii="ZWAdobeF" w:hAnsi="ZWAdobeF" w:cs="ZWAdobeF"/>
          <w:sz w:val="2"/>
          <w:szCs w:val="2"/>
          <w:lang w:val="en-GB"/>
        </w:rPr>
        <w:t>7F</w:t>
      </w:r>
      <w:r w:rsidR="000C1DDE">
        <w:rPr>
          <w:rFonts w:ascii="ZWAdobeF" w:hAnsi="ZWAdobeF" w:cs="ZWAdobeF"/>
          <w:sz w:val="2"/>
          <w:szCs w:val="2"/>
          <w:lang w:val="en-GB"/>
        </w:rPr>
        <w:t>20F</w:t>
      </w:r>
      <w:r w:rsidRPr="0089630F">
        <w:rPr>
          <w:rStyle w:val="FootnoteReference"/>
          <w:rFonts w:cstheme="minorHAnsi"/>
          <w:lang w:val="en-GB"/>
        </w:rPr>
        <w:footnoteReference w:id="21"/>
      </w:r>
      <w:r w:rsidRPr="0089630F">
        <w:rPr>
          <w:lang w:val="en-GB"/>
        </w:rPr>
        <w:t xml:space="preserve">, </w:t>
      </w:r>
      <w:r w:rsidRPr="0089630F">
        <w:rPr>
          <w:rFonts w:cstheme="minorHAnsi"/>
          <w:lang w:val="en-GB"/>
        </w:rPr>
        <w:t xml:space="preserve">the UN Secretary-General identified that </w:t>
      </w:r>
      <w:r w:rsidRPr="0089630F">
        <w:rPr>
          <w:lang w:val="en-GB"/>
        </w:rPr>
        <w:t xml:space="preserve">“such a review will provide an opportunity to take stock, with the active engagement of civil society and the private sector, of national progress” and </w:t>
      </w:r>
      <w:r w:rsidRPr="0089630F">
        <w:rPr>
          <w:rFonts w:cstheme="minorHAnsi"/>
          <w:lang w:val="en-GB"/>
        </w:rPr>
        <w:t>“raise the level of ambition and political commitment to achieving the goal of the Sendai Framework and its seven global targets by 2030”.</w:t>
      </w:r>
    </w:p>
    <w:p w14:paraId="1D40CDF2" w14:textId="306C12E1" w:rsidR="004B444A" w:rsidRPr="0089630F" w:rsidRDefault="004B444A" w:rsidP="000C1DDE">
      <w:pPr>
        <w:pStyle w:val="ListParagraph"/>
        <w:numPr>
          <w:ilvl w:val="1"/>
          <w:numId w:val="29"/>
        </w:numPr>
        <w:spacing w:before="240" w:after="240"/>
        <w:contextualSpacing w:val="0"/>
        <w:jc w:val="both"/>
        <w:rPr>
          <w:rFonts w:cstheme="minorHAnsi"/>
          <w:lang w:val="en-GB"/>
        </w:rPr>
      </w:pPr>
      <w:r w:rsidRPr="0089630F">
        <w:rPr>
          <w:lang w:val="en-GB"/>
        </w:rPr>
        <w:t>In his 2021 report, the UN Secretary-General recommended</w:t>
      </w:r>
      <w:r w:rsidRPr="0089630F">
        <w:rPr>
          <w:rFonts w:ascii="ZWAdobeF" w:hAnsi="ZWAdobeF" w:cs="ZWAdobeF"/>
          <w:sz w:val="2"/>
          <w:szCs w:val="2"/>
          <w:lang w:val="en-GB"/>
        </w:rPr>
        <w:t>8F</w:t>
      </w:r>
      <w:r w:rsidR="000C1DDE">
        <w:rPr>
          <w:rFonts w:ascii="ZWAdobeF" w:hAnsi="ZWAdobeF" w:cs="ZWAdobeF"/>
          <w:sz w:val="2"/>
          <w:szCs w:val="2"/>
          <w:lang w:val="en-GB"/>
        </w:rPr>
        <w:t>21F</w:t>
      </w:r>
      <w:r w:rsidRPr="0089630F">
        <w:rPr>
          <w:rStyle w:val="FootnoteReference"/>
          <w:lang w:val="en-GB"/>
        </w:rPr>
        <w:footnoteReference w:id="22"/>
      </w:r>
      <w:r w:rsidRPr="0089630F">
        <w:rPr>
          <w:lang w:val="en-GB"/>
        </w:rPr>
        <w:t xml:space="preserve"> that countries initiate “their midterm review process before the end of 2021 to be completed before the end of 2022</w:t>
      </w:r>
      <w:proofErr w:type="gramStart"/>
      <w:r w:rsidRPr="0089630F">
        <w:rPr>
          <w:lang w:val="en-GB"/>
        </w:rPr>
        <w:t>”, and</w:t>
      </w:r>
      <w:proofErr w:type="gramEnd"/>
      <w:r w:rsidRPr="0089630F">
        <w:rPr>
          <w:lang w:val="en-GB"/>
        </w:rPr>
        <w:t xml:space="preserve"> advised countries to “utilize existing multi-sectoral inter-institutional mechanisms” to ensure that the review benefits from “a whole of government approach” consulting with “key ministries and institutions beyond the disaster management authorities”.</w:t>
      </w:r>
    </w:p>
    <w:p w14:paraId="5A298DFC" w14:textId="77777777" w:rsidR="004B444A" w:rsidRPr="0089630F" w:rsidRDefault="004B444A" w:rsidP="000C1DDE">
      <w:pPr>
        <w:pStyle w:val="Heading3"/>
        <w:numPr>
          <w:ilvl w:val="0"/>
          <w:numId w:val="42"/>
        </w:numPr>
        <w:spacing w:before="240" w:after="120"/>
        <w:ind w:left="357" w:hanging="357"/>
        <w:rPr>
          <w:color w:val="C00000"/>
          <w:sz w:val="28"/>
          <w:szCs w:val="28"/>
        </w:rPr>
      </w:pPr>
      <w:r w:rsidRPr="0089630F">
        <w:rPr>
          <w:color w:val="C00000"/>
          <w:sz w:val="28"/>
          <w:szCs w:val="28"/>
        </w:rPr>
        <w:t>The Approach to the Midterm Review of the Implementation of the Sendai Framework for Disaster Risk Reduction</w:t>
      </w:r>
    </w:p>
    <w:p w14:paraId="0738EAEC" w14:textId="1D119879" w:rsidR="004B444A" w:rsidRPr="0089630F" w:rsidRDefault="004B444A" w:rsidP="000C1DDE">
      <w:pPr>
        <w:pStyle w:val="ListParagraph"/>
        <w:numPr>
          <w:ilvl w:val="1"/>
          <w:numId w:val="30"/>
        </w:numPr>
        <w:spacing w:before="240" w:after="120"/>
        <w:ind w:left="709" w:hanging="709"/>
        <w:contextualSpacing w:val="0"/>
        <w:jc w:val="both"/>
        <w:rPr>
          <w:lang w:val="en-GB"/>
        </w:rPr>
      </w:pPr>
      <w:r w:rsidRPr="0089630F">
        <w:rPr>
          <w:lang w:val="en-GB"/>
        </w:rPr>
        <w:t>The</w:t>
      </w:r>
      <w:r w:rsidRPr="0089630F">
        <w:rPr>
          <w:rFonts w:cs="Helvetica"/>
          <w:lang w:val="en-GB"/>
        </w:rPr>
        <w:t xml:space="preserve"> structure of the Sendai Framework</w:t>
      </w:r>
      <w:r w:rsidRPr="0089630F">
        <w:rPr>
          <w:rFonts w:ascii="ZWAdobeF" w:hAnsi="ZWAdobeF" w:cs="ZWAdobeF"/>
          <w:sz w:val="2"/>
          <w:szCs w:val="2"/>
          <w:lang w:val="en-GB"/>
        </w:rPr>
        <w:t>9F</w:t>
      </w:r>
      <w:r w:rsidR="000C1DDE">
        <w:rPr>
          <w:rFonts w:ascii="ZWAdobeF" w:hAnsi="ZWAdobeF" w:cs="ZWAdobeF"/>
          <w:sz w:val="2"/>
          <w:szCs w:val="2"/>
          <w:lang w:val="en-GB"/>
        </w:rPr>
        <w:t>22F</w:t>
      </w:r>
      <w:r w:rsidRPr="0089630F">
        <w:rPr>
          <w:rStyle w:val="FootnoteReference"/>
          <w:rFonts w:cs="Helvetica"/>
          <w:lang w:val="en-GB"/>
        </w:rPr>
        <w:footnoteReference w:id="23"/>
      </w:r>
      <w:r w:rsidRPr="0089630F">
        <w:rPr>
          <w:rFonts w:cs="Helvetica"/>
          <w:lang w:val="en-GB"/>
        </w:rPr>
        <w:t xml:space="preserve"> and the indicators for the global targets</w:t>
      </w:r>
      <w:r w:rsidRPr="0089630F">
        <w:rPr>
          <w:rFonts w:ascii="ZWAdobeF" w:hAnsi="ZWAdobeF" w:cs="ZWAdobeF"/>
          <w:sz w:val="2"/>
          <w:szCs w:val="2"/>
          <w:lang w:val="en-GB"/>
        </w:rPr>
        <w:t>10F</w:t>
      </w:r>
      <w:r w:rsidR="000C1DDE">
        <w:rPr>
          <w:rFonts w:ascii="ZWAdobeF" w:hAnsi="ZWAdobeF" w:cs="ZWAdobeF"/>
          <w:sz w:val="2"/>
          <w:szCs w:val="2"/>
          <w:lang w:val="en-GB"/>
        </w:rPr>
        <w:t>23F</w:t>
      </w:r>
      <w:r w:rsidRPr="0089630F">
        <w:rPr>
          <w:rStyle w:val="FootnoteReference"/>
          <w:rFonts w:cs="Helvetica"/>
          <w:lang w:val="en-GB"/>
        </w:rPr>
        <w:footnoteReference w:id="24"/>
      </w:r>
      <w:r w:rsidRPr="0089630F">
        <w:rPr>
          <w:rFonts w:cs="Helvetica"/>
          <w:lang w:val="en-GB"/>
        </w:rPr>
        <w:t xml:space="preserve">, as endorsed by the General Assembly, will be the basis for the </w:t>
      </w:r>
      <w:r w:rsidRPr="0089630F">
        <w:rPr>
          <w:rFonts w:cstheme="minorHAnsi"/>
          <w:lang w:val="en-GB"/>
        </w:rPr>
        <w:t>Midterm Review of the Implementation of the Sendai Framework for Disaster Risk Reduction (MTR SF).</w:t>
      </w:r>
      <w:r w:rsidRPr="0089630F">
        <w:rPr>
          <w:rFonts w:cs="Helvetica"/>
          <w:lang w:val="en-GB"/>
        </w:rPr>
        <w:t xml:space="preserve"> </w:t>
      </w:r>
    </w:p>
    <w:p w14:paraId="2D990234" w14:textId="4713099C" w:rsidR="004B444A" w:rsidRPr="0089630F" w:rsidRDefault="004B444A" w:rsidP="000C1DDE">
      <w:pPr>
        <w:pStyle w:val="ListParagraph"/>
        <w:numPr>
          <w:ilvl w:val="1"/>
          <w:numId w:val="30"/>
        </w:numPr>
        <w:spacing w:before="240" w:after="120"/>
        <w:ind w:left="709" w:hanging="709"/>
        <w:contextualSpacing w:val="0"/>
        <w:jc w:val="both"/>
        <w:rPr>
          <w:u w:val="single"/>
          <w:lang w:val="en-GB"/>
        </w:rPr>
      </w:pPr>
      <w:r w:rsidRPr="0089630F">
        <w:rPr>
          <w:rFonts w:cs="Helvetica"/>
          <w:lang w:val="en-GB"/>
        </w:rPr>
        <w:t xml:space="preserve">The </w:t>
      </w:r>
      <w:r w:rsidRPr="0089630F">
        <w:rPr>
          <w:rFonts w:cs="Helvetica"/>
          <w:u w:val="single"/>
          <w:lang w:val="en-GB"/>
        </w:rPr>
        <w:t>Scope</w:t>
      </w:r>
      <w:r w:rsidRPr="0089630F">
        <w:rPr>
          <w:rFonts w:cs="Helvetica"/>
          <w:lang w:val="en-GB"/>
        </w:rPr>
        <w:t xml:space="preserve"> of the Sendai Framework </w:t>
      </w:r>
      <w:r w:rsidRPr="0089630F">
        <w:rPr>
          <w:rFonts w:cstheme="minorHAnsi"/>
          <w:lang w:val="en-GB"/>
        </w:rPr>
        <w:t xml:space="preserve">applies to the risk of small-scale and large-scale, frequent and infrequent, sudden and slow-onset disasters triggered by natural or man-made hazards, as well as related environmental, technological and biological hazards and risks. The </w:t>
      </w:r>
      <w:r w:rsidRPr="0089630F">
        <w:rPr>
          <w:rFonts w:cstheme="minorHAnsi"/>
          <w:u w:val="single"/>
          <w:lang w:val="en-GB"/>
        </w:rPr>
        <w:t>Purpose</w:t>
      </w:r>
      <w:r w:rsidRPr="0089630F">
        <w:rPr>
          <w:rFonts w:cstheme="minorHAnsi"/>
          <w:lang w:val="en-GB"/>
        </w:rPr>
        <w:t xml:space="preserve"> of the Framework is to guide the multi-hazard management of disaster risk in development at all levels as well as within and across all </w:t>
      </w:r>
      <w:proofErr w:type="gramStart"/>
      <w:r w:rsidRPr="0089630F">
        <w:rPr>
          <w:rFonts w:cstheme="minorHAnsi"/>
          <w:lang w:val="en-GB"/>
        </w:rPr>
        <w:t>sectors, and</w:t>
      </w:r>
      <w:proofErr w:type="gramEnd"/>
      <w:r w:rsidRPr="0089630F">
        <w:rPr>
          <w:rFonts w:cstheme="minorHAnsi"/>
          <w:lang w:val="en-GB"/>
        </w:rPr>
        <w:t xml:space="preserve"> entails an </w:t>
      </w:r>
      <w:r w:rsidRPr="0089630F">
        <w:rPr>
          <w:rFonts w:cstheme="minorHAnsi"/>
          <w:u w:val="single"/>
          <w:lang w:val="en-GB"/>
        </w:rPr>
        <w:t>Expected Outcome</w:t>
      </w:r>
      <w:r w:rsidRPr="0089630F">
        <w:rPr>
          <w:rFonts w:cstheme="minorHAnsi"/>
          <w:i/>
          <w:iCs/>
          <w:lang w:val="en-GB"/>
        </w:rPr>
        <w:t xml:space="preserve"> </w:t>
      </w:r>
      <w:r w:rsidRPr="0089630F">
        <w:rPr>
          <w:rFonts w:cstheme="minorHAnsi"/>
          <w:lang w:val="en-GB"/>
        </w:rPr>
        <w:t>(</w:t>
      </w:r>
      <w:r w:rsidRPr="0089630F">
        <w:rPr>
          <w:rFonts w:cstheme="minorHAnsi"/>
          <w:i/>
          <w:iCs/>
          <w:lang w:val="en-GB"/>
        </w:rPr>
        <w:t>the substantial reduction in disaster risk and losses in lives, livelihoods, health and assets</w:t>
      </w:r>
      <w:r w:rsidRPr="0089630F">
        <w:rPr>
          <w:rFonts w:cstheme="minorHAnsi"/>
          <w:lang w:val="en-GB"/>
        </w:rPr>
        <w:t xml:space="preserve">), a </w:t>
      </w:r>
      <w:r w:rsidRPr="0089630F">
        <w:rPr>
          <w:rFonts w:cstheme="minorHAnsi"/>
          <w:u w:val="single"/>
          <w:lang w:val="en-GB"/>
        </w:rPr>
        <w:t>Goal</w:t>
      </w:r>
      <w:r w:rsidRPr="0089630F">
        <w:rPr>
          <w:rFonts w:cstheme="minorHAnsi"/>
          <w:i/>
          <w:iCs/>
          <w:lang w:val="en-GB"/>
        </w:rPr>
        <w:t xml:space="preserve"> </w:t>
      </w:r>
      <w:r w:rsidRPr="0089630F">
        <w:rPr>
          <w:rFonts w:cstheme="minorHAnsi"/>
          <w:lang w:val="en-GB"/>
        </w:rPr>
        <w:t>(</w:t>
      </w:r>
      <w:r w:rsidRPr="0089630F">
        <w:rPr>
          <w:rFonts w:cstheme="minorHAnsi"/>
          <w:i/>
          <w:iCs/>
          <w:lang w:val="en-GB"/>
        </w:rPr>
        <w:t>to prevent new and reduce existing risk, and strengthen resilience</w:t>
      </w:r>
      <w:r w:rsidRPr="0089630F">
        <w:rPr>
          <w:rFonts w:cstheme="minorHAnsi"/>
          <w:lang w:val="en-GB"/>
        </w:rPr>
        <w:t xml:space="preserve">), for which the assessment of progress is supported by </w:t>
      </w:r>
      <w:r w:rsidRPr="0089630F">
        <w:rPr>
          <w:rFonts w:cstheme="minorHAnsi"/>
          <w:u w:val="single"/>
          <w:lang w:val="en-GB"/>
        </w:rPr>
        <w:t>7 Global Targets.</w:t>
      </w:r>
      <w:r w:rsidRPr="0089630F">
        <w:rPr>
          <w:rFonts w:cstheme="minorHAnsi"/>
          <w:lang w:val="en-GB"/>
        </w:rPr>
        <w:t xml:space="preserve"> The implementation of the Framework is guided by </w:t>
      </w:r>
      <w:r w:rsidRPr="0089630F">
        <w:rPr>
          <w:rFonts w:cstheme="minorHAnsi"/>
          <w:u w:val="single"/>
          <w:lang w:val="en-GB"/>
        </w:rPr>
        <w:t>13 Guiding Principles</w:t>
      </w:r>
      <w:r w:rsidRPr="0089630F">
        <w:rPr>
          <w:rFonts w:cstheme="minorHAnsi"/>
          <w:lang w:val="en-GB"/>
        </w:rPr>
        <w:t xml:space="preserve">, with focused action within and across sectors at local, national regional and global levels through </w:t>
      </w:r>
      <w:r w:rsidRPr="0089630F">
        <w:rPr>
          <w:rFonts w:cstheme="minorHAnsi"/>
          <w:u w:val="single"/>
          <w:lang w:val="en-GB"/>
        </w:rPr>
        <w:t>4 Priorities for action</w:t>
      </w:r>
      <w:r w:rsidRPr="0089630F">
        <w:rPr>
          <w:rFonts w:ascii="ZWAdobeF" w:hAnsi="ZWAdobeF" w:cs="ZWAdobeF"/>
          <w:sz w:val="2"/>
          <w:szCs w:val="2"/>
          <w:lang w:val="en-GB"/>
        </w:rPr>
        <w:t>11F</w:t>
      </w:r>
      <w:r w:rsidR="000C1DDE">
        <w:rPr>
          <w:rFonts w:ascii="ZWAdobeF" w:hAnsi="ZWAdobeF" w:cs="ZWAdobeF"/>
          <w:sz w:val="2"/>
          <w:szCs w:val="2"/>
          <w:lang w:val="en-GB"/>
        </w:rPr>
        <w:t>24F</w:t>
      </w:r>
      <w:r w:rsidRPr="0089630F">
        <w:rPr>
          <w:rStyle w:val="FootnoteReference"/>
          <w:rFonts w:cstheme="minorHAnsi"/>
          <w:u w:val="single"/>
          <w:lang w:val="en-GB"/>
        </w:rPr>
        <w:footnoteReference w:id="25"/>
      </w:r>
      <w:r w:rsidRPr="0089630F">
        <w:rPr>
          <w:rFonts w:cstheme="minorHAnsi"/>
          <w:lang w:val="en-GB"/>
        </w:rPr>
        <w:t xml:space="preserve">, and while States have overall responsibility for reducing disaster risk, it is shared with relevant </w:t>
      </w:r>
      <w:r w:rsidRPr="0089630F">
        <w:rPr>
          <w:rFonts w:cs="Helvetica"/>
          <w:u w:val="single"/>
          <w:lang w:val="en-GB"/>
        </w:rPr>
        <w:t>Stakeholders</w:t>
      </w:r>
      <w:r w:rsidRPr="0089630F">
        <w:rPr>
          <w:rFonts w:cs="Helvetica"/>
          <w:lang w:val="en-GB"/>
        </w:rPr>
        <w:t xml:space="preserve"> (see 5.2 below), and </w:t>
      </w:r>
      <w:r w:rsidRPr="0089630F">
        <w:rPr>
          <w:rFonts w:cs="Helvetica"/>
          <w:u w:val="single"/>
          <w:lang w:val="en-GB"/>
        </w:rPr>
        <w:t>International Cooperation and Global Partnership</w:t>
      </w:r>
      <w:r w:rsidRPr="0089630F">
        <w:rPr>
          <w:rFonts w:cs="Helvetica"/>
          <w:lang w:val="en-GB"/>
        </w:rPr>
        <w:t xml:space="preserve"> from which the Framework calls for the provision of coordinated, sustained and adequate financial support and technical cooperation, capacity building and technology transfer.</w:t>
      </w:r>
    </w:p>
    <w:p w14:paraId="61F64DA5" w14:textId="77777777" w:rsidR="004B444A" w:rsidRPr="0089630F" w:rsidRDefault="004B444A" w:rsidP="000C1DDE">
      <w:pPr>
        <w:pStyle w:val="ListParagraph"/>
        <w:numPr>
          <w:ilvl w:val="1"/>
          <w:numId w:val="30"/>
        </w:numPr>
        <w:spacing w:before="240" w:after="240"/>
        <w:ind w:left="709" w:hanging="709"/>
        <w:contextualSpacing w:val="0"/>
        <w:jc w:val="both"/>
        <w:rPr>
          <w:lang w:val="en-GB"/>
        </w:rPr>
      </w:pPr>
      <w:r w:rsidRPr="0089630F">
        <w:rPr>
          <w:rFonts w:ascii="Calibri" w:hAnsi="Calibri" w:cs="Calibri"/>
          <w:lang w:val="en-GB"/>
        </w:rPr>
        <w:t xml:space="preserve">Disaster risk needs to, and can only, be managed prospectively through the processes which create it. Corrective management signifies interventions that eliminate existing risk factors and contexts, without necessarily affecting underlying risk creation (for example building dykes to stop flooding or retrofitting hospitals does not change the underlying processes that generated that risk in the </w:t>
      </w:r>
      <w:r w:rsidRPr="0089630F">
        <w:rPr>
          <w:rFonts w:ascii="Calibri" w:hAnsi="Calibri" w:cs="Calibri"/>
          <w:lang w:val="en-GB"/>
        </w:rPr>
        <w:lastRenderedPageBreak/>
        <w:t>first place). Disaster risk management is not a sector in and of itself as the methods and instruments, strategies and policies required to manage risk are multi-sector and multi-thematic, converging in different approaches to achieving risk prevention and mitigation goals. Consequently, the Sendai Framework presents a disaster risk governance and management paradigm to be applied across international and national agendas and sectors.</w:t>
      </w:r>
      <w:r w:rsidRPr="0089630F">
        <w:rPr>
          <w:lang w:val="en-GB"/>
        </w:rPr>
        <w:t xml:space="preserve"> </w:t>
      </w:r>
    </w:p>
    <w:p w14:paraId="410D9B18" w14:textId="77777777" w:rsidR="004B444A" w:rsidRPr="0089630F" w:rsidRDefault="004B444A" w:rsidP="000C1DDE">
      <w:pPr>
        <w:pStyle w:val="ListParagraph"/>
        <w:numPr>
          <w:ilvl w:val="1"/>
          <w:numId w:val="30"/>
        </w:numPr>
        <w:spacing w:before="240" w:after="240"/>
        <w:ind w:left="709" w:hanging="709"/>
        <w:contextualSpacing w:val="0"/>
        <w:jc w:val="both"/>
        <w:rPr>
          <w:lang w:val="en-GB"/>
        </w:rPr>
      </w:pPr>
      <w:r w:rsidRPr="0089630F">
        <w:rPr>
          <w:lang w:val="en-GB"/>
        </w:rPr>
        <w:t>The Sendai Framework therefore has at its core the importance of integrating risk reduction in other approaches and agendas, for example those pursuing poverty reduction and sustainable development, and efforts to address climate change, public health, food and nutrition, sustainable urban development, as well as to arrest decline in biological diversity, halt ecosystems collapse, not to mention the centrality of disaster risk reduction to the sustainable development of SIDS, LLDCs and LDCs. In other words, the uptake and application of disaster risk management principles as part of all decisions of development sectors, territories, investors and agents.</w:t>
      </w:r>
    </w:p>
    <w:p w14:paraId="4203ADA1" w14:textId="77777777" w:rsidR="004B444A" w:rsidRPr="0089630F" w:rsidRDefault="004B444A" w:rsidP="000C1DDE">
      <w:pPr>
        <w:pStyle w:val="ListParagraph"/>
        <w:numPr>
          <w:ilvl w:val="1"/>
          <w:numId w:val="30"/>
        </w:numPr>
        <w:spacing w:before="240" w:after="240"/>
        <w:ind w:left="709" w:hanging="709"/>
        <w:contextualSpacing w:val="0"/>
        <w:jc w:val="both"/>
        <w:rPr>
          <w:lang w:val="en-GB"/>
        </w:rPr>
      </w:pPr>
      <w:r w:rsidRPr="0089630F">
        <w:rPr>
          <w:lang w:val="en-GB"/>
        </w:rPr>
        <w:t>And yet the operating environment in which the Sendai Framework and other frameworks are being implemented at global, regional, national and local levels, has altered immeasurably since 2015, not least with the COVID-19 pandemic, accelerating global heating and anthropogenic climate change – all of which were clearly identified in the expanded definition of hazards and risks adopted by the Sendai Framework. These d</w:t>
      </w:r>
      <w:r w:rsidRPr="0089630F">
        <w:rPr>
          <w:rFonts w:cstheme="minorHAnsi"/>
          <w:lang w:val="en-GB"/>
        </w:rPr>
        <w:t xml:space="preserve">emonstrate the systemic nature of risk, and demand urgent and fundamental reflections on how the world seeks to collaborate, </w:t>
      </w:r>
      <w:proofErr w:type="gramStart"/>
      <w:r w:rsidRPr="0089630F">
        <w:rPr>
          <w:rFonts w:cstheme="minorHAnsi"/>
          <w:lang w:val="en-GB"/>
        </w:rPr>
        <w:t>understand</w:t>
      </w:r>
      <w:proofErr w:type="gramEnd"/>
      <w:r w:rsidRPr="0089630F">
        <w:rPr>
          <w:rFonts w:cstheme="minorHAnsi"/>
          <w:lang w:val="en-GB"/>
        </w:rPr>
        <w:t xml:space="preserve"> and manage risk in the 21</w:t>
      </w:r>
      <w:r w:rsidRPr="0089630F">
        <w:rPr>
          <w:rFonts w:cstheme="minorHAnsi"/>
          <w:vertAlign w:val="superscript"/>
          <w:lang w:val="en-GB"/>
        </w:rPr>
        <w:t>st</w:t>
      </w:r>
      <w:r w:rsidRPr="0089630F">
        <w:rPr>
          <w:rFonts w:cstheme="minorHAnsi"/>
          <w:lang w:val="en-GB"/>
        </w:rPr>
        <w:t xml:space="preserve"> century; now, to 2030 and beyond. </w:t>
      </w:r>
    </w:p>
    <w:p w14:paraId="2228BF06" w14:textId="40649398" w:rsidR="004B444A" w:rsidRPr="0089630F" w:rsidRDefault="004B444A" w:rsidP="000C1DDE">
      <w:pPr>
        <w:pStyle w:val="ListParagraph"/>
        <w:numPr>
          <w:ilvl w:val="1"/>
          <w:numId w:val="30"/>
        </w:numPr>
        <w:spacing w:before="240" w:after="240"/>
        <w:ind w:left="709" w:hanging="709"/>
        <w:contextualSpacing w:val="0"/>
        <w:jc w:val="both"/>
        <w:rPr>
          <w:lang w:val="en-GB"/>
        </w:rPr>
      </w:pPr>
      <w:r w:rsidRPr="0089630F">
        <w:rPr>
          <w:rFonts w:cstheme="minorHAnsi"/>
          <w:lang w:val="en-GB"/>
        </w:rPr>
        <w:t xml:space="preserve">The importance of the MTR SF coming at this time cannot therefore be overstated, both in terms of its recommendations for potential policy adjustments and new modalities for implementation for the second half of the duration of the Sendai Framework, but also in respect of integrating risk reduction into the implementation of other international agendas, and sectors and areas of work, </w:t>
      </w:r>
      <w:proofErr w:type="gramStart"/>
      <w:r w:rsidRPr="0089630F">
        <w:rPr>
          <w:rFonts w:cstheme="minorHAnsi"/>
          <w:lang w:val="en-GB"/>
        </w:rPr>
        <w:t>so as to</w:t>
      </w:r>
      <w:proofErr w:type="gramEnd"/>
      <w:r w:rsidRPr="0089630F">
        <w:rPr>
          <w:rFonts w:cstheme="minorHAnsi"/>
          <w:lang w:val="en-GB"/>
        </w:rPr>
        <w:t xml:space="preserve"> limit the unsustainable augmentation of vulnerability and exposure to hazards. Indeed, the Secretary-General recommended</w:t>
      </w:r>
      <w:r w:rsidRPr="0089630F">
        <w:rPr>
          <w:rFonts w:ascii="ZWAdobeF" w:hAnsi="ZWAdobeF" w:cs="ZWAdobeF"/>
          <w:sz w:val="2"/>
          <w:szCs w:val="2"/>
          <w:lang w:val="en-GB"/>
        </w:rPr>
        <w:t>12F</w:t>
      </w:r>
      <w:r w:rsidR="000C1DDE">
        <w:rPr>
          <w:rFonts w:ascii="ZWAdobeF" w:hAnsi="ZWAdobeF" w:cs="ZWAdobeF"/>
          <w:sz w:val="2"/>
          <w:szCs w:val="2"/>
          <w:lang w:val="en-GB"/>
        </w:rPr>
        <w:t>25F</w:t>
      </w:r>
      <w:r w:rsidRPr="0089630F">
        <w:rPr>
          <w:rStyle w:val="FootnoteReference"/>
          <w:rFonts w:cstheme="minorHAnsi"/>
          <w:lang w:val="en-GB"/>
        </w:rPr>
        <w:footnoteReference w:id="26"/>
      </w:r>
      <w:r w:rsidRPr="0089630F">
        <w:rPr>
          <w:rFonts w:cstheme="minorHAnsi"/>
          <w:lang w:val="en-GB"/>
        </w:rPr>
        <w:t xml:space="preserve"> that progress in “integrating disaster risk reduction into development and climate policies, programmes and investment should also be assessed as part of such a midterm review”.</w:t>
      </w:r>
    </w:p>
    <w:p w14:paraId="1035123D" w14:textId="77777777" w:rsidR="004B444A" w:rsidRPr="0089630F" w:rsidRDefault="004B444A" w:rsidP="000C1DDE">
      <w:pPr>
        <w:pStyle w:val="ListParagraph"/>
        <w:numPr>
          <w:ilvl w:val="1"/>
          <w:numId w:val="30"/>
        </w:numPr>
        <w:spacing w:before="240" w:after="240"/>
        <w:ind w:left="709" w:hanging="709"/>
        <w:contextualSpacing w:val="0"/>
        <w:jc w:val="both"/>
        <w:rPr>
          <w:lang w:val="en-GB"/>
        </w:rPr>
      </w:pPr>
      <w:r w:rsidRPr="0089630F">
        <w:rPr>
          <w:lang w:val="en-GB"/>
        </w:rPr>
        <w:t>Ali</w:t>
      </w:r>
      <w:r w:rsidRPr="0089630F">
        <w:rPr>
          <w:rFonts w:cstheme="minorHAnsi"/>
          <w:lang w:val="en-GB"/>
        </w:rPr>
        <w:t>gnment of the MTR SF with other global stock taking and review exercises is essential (see 5.3 below), and requires the engagement and support of countries, entities of the UN System, scientific and academic institutions, amongst other stakeholders. A number of these review and stock taking exercises are continuous exercises – including those of the treaty bodies – with some having already commenced, others beginning and others to come in 2022 and 2023. The MTR SF will initiate the substantive review of the Sendai Framework at national and regional levels in 2021 with Member State deliberations concluding in 2023. The findings of the MTR SF will provide valuable input to the 2023 ECOSOC HLPF, and the SDG Summit and the</w:t>
      </w:r>
      <w:r w:rsidRPr="0089630F">
        <w:rPr>
          <w:lang w:val="en-GB"/>
        </w:rPr>
        <w:t xml:space="preserve"> </w:t>
      </w:r>
      <w:r w:rsidRPr="0089630F">
        <w:rPr>
          <w:rFonts w:cstheme="minorHAnsi"/>
          <w:lang w:val="en-GB"/>
        </w:rPr>
        <w:t>High-level Dialogue on Financing for Development at the 78</w:t>
      </w:r>
      <w:r w:rsidRPr="0089630F">
        <w:rPr>
          <w:rFonts w:cstheme="minorHAnsi"/>
          <w:vertAlign w:val="superscript"/>
          <w:lang w:val="en-GB"/>
        </w:rPr>
        <w:t>th</w:t>
      </w:r>
      <w:r w:rsidRPr="0089630F">
        <w:rPr>
          <w:rFonts w:cstheme="minorHAnsi"/>
          <w:lang w:val="en-GB"/>
        </w:rPr>
        <w:t xml:space="preserve"> Session of the UN General Assembly. Ensuring synergies between these processes is of critical importance.</w:t>
      </w:r>
    </w:p>
    <w:p w14:paraId="5F096575" w14:textId="77777777" w:rsidR="004B444A" w:rsidRPr="0089630F" w:rsidRDefault="004B444A" w:rsidP="000C1DDE">
      <w:pPr>
        <w:pStyle w:val="ListParagraph"/>
        <w:numPr>
          <w:ilvl w:val="1"/>
          <w:numId w:val="30"/>
        </w:numPr>
        <w:spacing w:before="120" w:after="120"/>
        <w:ind w:left="709" w:hanging="709"/>
        <w:contextualSpacing w:val="0"/>
        <w:jc w:val="both"/>
        <w:rPr>
          <w:lang w:val="en-GB"/>
        </w:rPr>
      </w:pPr>
      <w:r w:rsidRPr="0089630F">
        <w:rPr>
          <w:lang w:val="en-GB"/>
        </w:rPr>
        <w:t>Beyond national and thematic consultations and review, the MTR SF will utilise and leverage existing meetings and processes at global and regional levels as much as possible to facilitate consultations, deliberations and reviews, including the stock taking and review exercises of other agendas (see 5.3 below).</w:t>
      </w:r>
    </w:p>
    <w:p w14:paraId="0686154B" w14:textId="77777777" w:rsidR="004B444A" w:rsidRPr="0089630F" w:rsidRDefault="004B444A" w:rsidP="000C1DDE">
      <w:pPr>
        <w:pStyle w:val="ListParagraph"/>
        <w:numPr>
          <w:ilvl w:val="1"/>
          <w:numId w:val="30"/>
        </w:numPr>
        <w:spacing w:before="120" w:after="120"/>
        <w:ind w:left="709" w:hanging="709"/>
        <w:contextualSpacing w:val="0"/>
        <w:jc w:val="both"/>
        <w:rPr>
          <w:lang w:val="en-GB"/>
        </w:rPr>
      </w:pPr>
      <w:r w:rsidRPr="0089630F">
        <w:rPr>
          <w:lang w:val="en-GB"/>
        </w:rPr>
        <w:lastRenderedPageBreak/>
        <w:t xml:space="preserve">Amongst the relevant disaster risk reduction meetings, the following are important: the Africa Regional Platform for Disaster Risk Reduction, the Regional Platform for Disaster Risk Reduction for the Americas and the Caribbean, the Arab Platform for Disaster Risk Reduction, and the European Forum for Disaster Risk Reduction that will all take place in November 2021; the Global Platform for Disaster Risk Reduction in May 2022; and the Asia Pacific Ministerial Conference on Disaster Risk Reduction in the second half of 2022. </w:t>
      </w:r>
    </w:p>
    <w:p w14:paraId="60EBA547" w14:textId="77777777" w:rsidR="004B444A" w:rsidRPr="0089630F" w:rsidRDefault="004B444A" w:rsidP="000C1DDE">
      <w:pPr>
        <w:pStyle w:val="ListParagraph"/>
        <w:numPr>
          <w:ilvl w:val="1"/>
          <w:numId w:val="30"/>
        </w:numPr>
        <w:spacing w:before="120" w:after="120"/>
        <w:ind w:left="709" w:hanging="709"/>
        <w:contextualSpacing w:val="0"/>
        <w:jc w:val="both"/>
        <w:rPr>
          <w:lang w:val="en-GB"/>
        </w:rPr>
      </w:pPr>
      <w:r w:rsidRPr="0089630F">
        <w:rPr>
          <w:lang w:val="en-GB"/>
        </w:rPr>
        <w:t xml:space="preserve">The Regional Platforms and Global Platform for Disaster Risk Reduction in 2021 and 2022 provide the primary international venues for Member States and stakeholders to take stock of the MTR SF to date, to examine preliminary outcomes and recommendations. Other meetings and events wherein Member States and other stakeholders may provide input to the MTR SF include the </w:t>
      </w:r>
      <w:r w:rsidRPr="0089630F">
        <w:rPr>
          <w:rFonts w:cs="Calibri"/>
          <w:lang w:val="en-GB"/>
        </w:rPr>
        <w:t>Regional Forums on Sustainable Development in February to April 2022 and 2023, the meetings of the ECOSOC cycle culminating in the HLPF of 2022.</w:t>
      </w:r>
    </w:p>
    <w:p w14:paraId="4B307620" w14:textId="77777777" w:rsidR="004B444A" w:rsidRPr="0089630F" w:rsidRDefault="004B444A" w:rsidP="000C1DDE">
      <w:pPr>
        <w:pStyle w:val="ListParagraph"/>
        <w:numPr>
          <w:ilvl w:val="1"/>
          <w:numId w:val="30"/>
        </w:numPr>
        <w:spacing w:before="120" w:after="120"/>
        <w:ind w:left="709" w:hanging="709"/>
        <w:contextualSpacing w:val="0"/>
        <w:jc w:val="both"/>
        <w:rPr>
          <w:lang w:val="en-GB"/>
        </w:rPr>
      </w:pPr>
      <w:r w:rsidRPr="0089630F">
        <w:rPr>
          <w:lang w:val="en-GB"/>
        </w:rPr>
        <w:t xml:space="preserve">UN Member States will also </w:t>
      </w:r>
      <w:proofErr w:type="gramStart"/>
      <w:r w:rsidRPr="0089630F">
        <w:rPr>
          <w:lang w:val="en-GB"/>
        </w:rPr>
        <w:t>have the opportunity to</w:t>
      </w:r>
      <w:proofErr w:type="gramEnd"/>
      <w:r w:rsidRPr="0089630F">
        <w:rPr>
          <w:lang w:val="en-GB"/>
        </w:rPr>
        <w:t xml:space="preserve"> provide input to both the design and roll-out of the MTR SF – via the open-ended UNDRR Support Group for which ad hoc, substantive meetings and updates will be held as required in Geneva, as well as the Group of Friends for Disaster Risk Reduction in New York.</w:t>
      </w:r>
    </w:p>
    <w:p w14:paraId="1D308198" w14:textId="77777777" w:rsidR="004B444A" w:rsidRPr="0089630F" w:rsidRDefault="004B444A" w:rsidP="000C1DDE">
      <w:pPr>
        <w:pStyle w:val="Heading3"/>
        <w:numPr>
          <w:ilvl w:val="0"/>
          <w:numId w:val="42"/>
        </w:numPr>
        <w:spacing w:before="240" w:after="120"/>
        <w:ind w:left="357" w:hanging="357"/>
        <w:rPr>
          <w:color w:val="C00000"/>
          <w:sz w:val="28"/>
          <w:szCs w:val="28"/>
        </w:rPr>
      </w:pPr>
      <w:r w:rsidRPr="0089630F">
        <w:rPr>
          <w:color w:val="C00000"/>
          <w:sz w:val="28"/>
          <w:szCs w:val="28"/>
        </w:rPr>
        <w:t>Scope of the MTR SF</w:t>
      </w:r>
    </w:p>
    <w:p w14:paraId="68E86122" w14:textId="77777777" w:rsidR="004B444A" w:rsidRPr="0089630F" w:rsidRDefault="004B444A" w:rsidP="000C1DDE">
      <w:pPr>
        <w:pStyle w:val="ListParagraph"/>
        <w:numPr>
          <w:ilvl w:val="1"/>
          <w:numId w:val="31"/>
        </w:numPr>
        <w:spacing w:before="240" w:after="240"/>
        <w:ind w:left="709" w:hanging="709"/>
        <w:contextualSpacing w:val="0"/>
        <w:jc w:val="both"/>
        <w:rPr>
          <w:lang w:val="en-GB"/>
        </w:rPr>
      </w:pPr>
      <w:r w:rsidRPr="0089630F">
        <w:rPr>
          <w:lang w:val="en-GB"/>
        </w:rPr>
        <w:t xml:space="preserve">The </w:t>
      </w:r>
      <w:r w:rsidRPr="0089630F">
        <w:rPr>
          <w:b/>
          <w:bCs/>
          <w:lang w:val="en-GB"/>
        </w:rPr>
        <w:t>overall objective</w:t>
      </w:r>
      <w:r w:rsidRPr="0089630F">
        <w:rPr>
          <w:lang w:val="en-GB"/>
        </w:rPr>
        <w:t xml:space="preserve"> of the MTR SF is to take stock of the implementation of the Sendai Framework to date, assessing progress made and challenges experienced in preventing and reducing disaster risk, identifying new and emerging issues, as well as changes in context since 2015, providing critical analysis so as to assist countries and stakeholders formulate recommendations for prioritised, accelerated and integrated international, national and local cooperation and action in the period 2023 to 2030, and to initiate nascent thinking on possible international arrangements for risk-informed sustainable development beyond 2030. </w:t>
      </w:r>
    </w:p>
    <w:p w14:paraId="35E3490B" w14:textId="77777777" w:rsidR="004B444A" w:rsidRPr="0089630F" w:rsidRDefault="004B444A" w:rsidP="000C1DDE">
      <w:pPr>
        <w:pStyle w:val="ListParagraph"/>
        <w:numPr>
          <w:ilvl w:val="1"/>
          <w:numId w:val="31"/>
        </w:numPr>
        <w:spacing w:before="240" w:after="60"/>
        <w:ind w:left="709" w:hanging="709"/>
        <w:contextualSpacing w:val="0"/>
        <w:jc w:val="both"/>
        <w:rPr>
          <w:lang w:val="en-GB"/>
        </w:rPr>
      </w:pPr>
      <w:r w:rsidRPr="0089630F">
        <w:rPr>
          <w:lang w:val="en-GB"/>
        </w:rPr>
        <w:t xml:space="preserve">The </w:t>
      </w:r>
      <w:r w:rsidRPr="0089630F">
        <w:rPr>
          <w:b/>
          <w:bCs/>
          <w:lang w:val="en-GB"/>
        </w:rPr>
        <w:t>outcome</w:t>
      </w:r>
      <w:r w:rsidRPr="0089630F">
        <w:rPr>
          <w:lang w:val="en-GB"/>
        </w:rPr>
        <w:t xml:space="preserve"> of the MTR SF is expected to inform: </w:t>
      </w:r>
    </w:p>
    <w:p w14:paraId="6B75EFDA" w14:textId="77777777" w:rsidR="004B444A" w:rsidRPr="0089630F" w:rsidRDefault="004B444A" w:rsidP="000C1DDE">
      <w:pPr>
        <w:pStyle w:val="ListParagraph"/>
        <w:numPr>
          <w:ilvl w:val="2"/>
          <w:numId w:val="31"/>
        </w:numPr>
        <w:spacing w:before="60" w:after="60"/>
        <w:ind w:left="992" w:hanging="295"/>
        <w:contextualSpacing w:val="0"/>
        <w:jc w:val="both"/>
        <w:rPr>
          <w:lang w:val="en-GB"/>
        </w:rPr>
      </w:pPr>
      <w:r w:rsidRPr="0089630F">
        <w:rPr>
          <w:rFonts w:cstheme="minorHAnsi"/>
          <w:lang w:val="en-GB"/>
        </w:rPr>
        <w:t>policy adjustments and new modalities for implementation for Governments and other stakeholders for the second half of the duration of the Sendai Framework and recovery from the COVID-19 pandemic,</w:t>
      </w:r>
    </w:p>
    <w:p w14:paraId="267F7BA1" w14:textId="77777777" w:rsidR="004B444A" w:rsidRPr="0089630F" w:rsidRDefault="004B444A" w:rsidP="000C1DDE">
      <w:pPr>
        <w:pStyle w:val="ListParagraph"/>
        <w:numPr>
          <w:ilvl w:val="2"/>
          <w:numId w:val="31"/>
        </w:numPr>
        <w:spacing w:before="60" w:after="60"/>
        <w:ind w:left="992" w:hanging="295"/>
        <w:contextualSpacing w:val="0"/>
        <w:jc w:val="both"/>
        <w:rPr>
          <w:lang w:val="en-GB"/>
        </w:rPr>
      </w:pPr>
      <w:r w:rsidRPr="0089630F">
        <w:rPr>
          <w:lang w:val="en-GB"/>
        </w:rPr>
        <w:t xml:space="preserve">the deliberations of Member States on an expression of renewed commitment to implement recommended actions of the review, and </w:t>
      </w:r>
    </w:p>
    <w:p w14:paraId="03B685AA" w14:textId="77777777" w:rsidR="004B444A" w:rsidRPr="0089630F" w:rsidRDefault="004B444A" w:rsidP="000C1DDE">
      <w:pPr>
        <w:pStyle w:val="ListParagraph"/>
        <w:numPr>
          <w:ilvl w:val="2"/>
          <w:numId w:val="31"/>
        </w:numPr>
        <w:spacing w:before="60" w:after="240"/>
        <w:ind w:left="992" w:hanging="295"/>
        <w:contextualSpacing w:val="0"/>
        <w:jc w:val="both"/>
        <w:rPr>
          <w:lang w:val="en-GB"/>
        </w:rPr>
      </w:pPr>
      <w:r w:rsidRPr="0089630F">
        <w:rPr>
          <w:lang w:val="en-GB"/>
        </w:rPr>
        <w:t xml:space="preserve">the </w:t>
      </w:r>
      <w:r w:rsidRPr="0089630F">
        <w:rPr>
          <w:rFonts w:cstheme="minorHAnsi"/>
          <w:lang w:val="en-GB"/>
        </w:rPr>
        <w:t xml:space="preserve">follow-up processes to United Nations conferences and summits, including the deliberations of the ECOSOC HLPF on Sustainable Development, the SDGs Summit </w:t>
      </w:r>
      <w:r w:rsidRPr="0089630F">
        <w:rPr>
          <w:lang w:val="en-GB"/>
        </w:rPr>
        <w:t>and the High-level Dialogue on Financing for Development at the 78</w:t>
      </w:r>
      <w:r w:rsidRPr="0089630F">
        <w:rPr>
          <w:vertAlign w:val="superscript"/>
          <w:lang w:val="en-GB"/>
        </w:rPr>
        <w:t>th</w:t>
      </w:r>
      <w:r w:rsidRPr="0089630F">
        <w:rPr>
          <w:lang w:val="en-GB"/>
        </w:rPr>
        <w:t xml:space="preserve"> Session of the UN General Assembly.</w:t>
      </w:r>
    </w:p>
    <w:p w14:paraId="0C328AC0" w14:textId="77777777" w:rsidR="004B444A" w:rsidRPr="0089630F" w:rsidRDefault="004B444A" w:rsidP="000C1DDE">
      <w:pPr>
        <w:pStyle w:val="ListParagraph"/>
        <w:numPr>
          <w:ilvl w:val="1"/>
          <w:numId w:val="31"/>
        </w:numPr>
        <w:spacing w:before="240" w:after="240"/>
        <w:ind w:left="709" w:hanging="709"/>
        <w:contextualSpacing w:val="0"/>
        <w:jc w:val="both"/>
        <w:rPr>
          <w:lang w:val="en-GB"/>
        </w:rPr>
      </w:pPr>
      <w:r w:rsidRPr="0089630F">
        <w:rPr>
          <w:lang w:val="en-GB"/>
        </w:rPr>
        <w:t xml:space="preserve">The </w:t>
      </w:r>
      <w:r w:rsidRPr="0089630F">
        <w:rPr>
          <w:b/>
          <w:bCs/>
          <w:lang w:val="en-GB"/>
        </w:rPr>
        <w:t>outcomes of the review</w:t>
      </w:r>
      <w:r w:rsidRPr="0089630F">
        <w:rPr>
          <w:lang w:val="en-GB"/>
        </w:rPr>
        <w:t xml:space="preserve"> will be captured in the substantive reports – the Main Report of the MTR SF, and the Synthesis Report of the MTR SF. </w:t>
      </w:r>
      <w:r w:rsidRPr="0089630F">
        <w:rPr>
          <w:rFonts w:cstheme="minorHAnsi"/>
          <w:lang w:val="en-GB"/>
        </w:rPr>
        <w:t xml:space="preserve">The main report will provide a qualitative and quantitative analysis of the progress made in the implementation of the Sendai Framework and internationally agreed goals and targets relevant to sustainable development. The analysis will be based on the activities of national, subnational and local governments, regional and sub-regional intergovernmental organisations, United Nations Office for Disaster Risk Reduction (UNDRR) and other relevant entities of the United Nations system, the private sector, civil society and other relevant stakeholders. </w:t>
      </w:r>
      <w:r w:rsidRPr="0089630F">
        <w:rPr>
          <w:rFonts w:eastAsia="Times New Roman" w:cstheme="minorHAnsi"/>
          <w:lang w:val="en-GB" w:eastAsia="en-GB"/>
        </w:rPr>
        <w:t xml:space="preserve">Member States are encouraged to produce voluntary national reports of the findings of their national midterm reviews. </w:t>
      </w:r>
      <w:r w:rsidRPr="0089630F">
        <w:rPr>
          <w:rFonts w:cstheme="minorHAnsi"/>
          <w:lang w:val="en-GB"/>
        </w:rPr>
        <w:t xml:space="preserve">The Main Report should incorporate, to the extent possible, the inputs of multilateral organizations and processes where appropriate, and those of </w:t>
      </w:r>
      <w:r w:rsidRPr="0089630F">
        <w:rPr>
          <w:rFonts w:cstheme="minorHAnsi"/>
          <w:lang w:val="en-GB"/>
        </w:rPr>
        <w:lastRenderedPageBreak/>
        <w:t xml:space="preserve">civil society, the private sector and academia, and scientific and research institutions. UNDRR will coordinate and lead the preparation of the Main Report. UNDRR will also prepare a </w:t>
      </w:r>
      <w:r w:rsidRPr="0089630F">
        <w:rPr>
          <w:rFonts w:eastAsia="Times New Roman" w:cstheme="minorHAnsi"/>
          <w:lang w:val="en-GB"/>
        </w:rPr>
        <w:t xml:space="preserve">distillation of the main findings and recommendations of the review – </w:t>
      </w:r>
      <w:r w:rsidRPr="0089630F">
        <w:rPr>
          <w:rFonts w:cstheme="minorHAnsi"/>
          <w:lang w:val="en-GB"/>
        </w:rPr>
        <w:t xml:space="preserve">the MTR SF Synthesis Report </w:t>
      </w:r>
      <w:r w:rsidRPr="0089630F">
        <w:rPr>
          <w:rFonts w:eastAsia="Times New Roman" w:cstheme="minorHAnsi"/>
          <w:lang w:val="en-GB"/>
        </w:rPr>
        <w:t xml:space="preserve">– </w:t>
      </w:r>
      <w:proofErr w:type="gramStart"/>
      <w:r w:rsidRPr="0089630F">
        <w:rPr>
          <w:rFonts w:eastAsia="Times New Roman" w:cstheme="minorHAnsi"/>
          <w:lang w:val="en-GB"/>
        </w:rPr>
        <w:t>so as to</w:t>
      </w:r>
      <w:proofErr w:type="gramEnd"/>
      <w:r w:rsidRPr="0089630F">
        <w:rPr>
          <w:rFonts w:eastAsia="Times New Roman" w:cstheme="minorHAnsi"/>
          <w:lang w:val="en-GB"/>
        </w:rPr>
        <w:t xml:space="preserve"> facilitate the deliberations of Member States in concluding the MTR SF</w:t>
      </w:r>
      <w:r w:rsidRPr="0089630F">
        <w:rPr>
          <w:rFonts w:cstheme="minorHAnsi"/>
          <w:lang w:val="en-GB"/>
        </w:rPr>
        <w:t xml:space="preserve"> in 2023. </w:t>
      </w:r>
    </w:p>
    <w:p w14:paraId="0A019FE0" w14:textId="77777777" w:rsidR="004B444A" w:rsidRPr="0089630F" w:rsidRDefault="004B444A" w:rsidP="000C1DDE">
      <w:pPr>
        <w:pStyle w:val="ListParagraph"/>
        <w:numPr>
          <w:ilvl w:val="1"/>
          <w:numId w:val="31"/>
        </w:numPr>
        <w:spacing w:before="240" w:after="120"/>
        <w:ind w:left="709" w:hanging="709"/>
        <w:contextualSpacing w:val="0"/>
        <w:jc w:val="both"/>
        <w:rPr>
          <w:lang w:val="en-GB"/>
        </w:rPr>
      </w:pPr>
      <w:r w:rsidRPr="0089630F">
        <w:rPr>
          <w:lang w:val="en-GB"/>
        </w:rPr>
        <w:t xml:space="preserve">The MTR SF therefore entails two principal elements of review: a </w:t>
      </w:r>
      <w:r w:rsidRPr="0089630F">
        <w:rPr>
          <w:u w:val="single"/>
          <w:lang w:val="en-GB"/>
        </w:rPr>
        <w:t>retrospective</w:t>
      </w:r>
      <w:r w:rsidRPr="0089630F">
        <w:rPr>
          <w:lang w:val="en-GB"/>
        </w:rPr>
        <w:t xml:space="preserve"> stock taking exercise from 2015 to 2022, inter alia appraising the adequacy of progress in implementation in a changing context; and a </w:t>
      </w:r>
      <w:r w:rsidRPr="0089630F">
        <w:rPr>
          <w:u w:val="single"/>
          <w:lang w:val="en-GB"/>
        </w:rPr>
        <w:t>prospective</w:t>
      </w:r>
      <w:r w:rsidRPr="0089630F">
        <w:rPr>
          <w:lang w:val="en-GB"/>
        </w:rPr>
        <w:t xml:space="preserve"> review of priority challenges to be addressed and actions to be undertaken, accelerated or amplified between 2023 and 2030 and beyond.</w:t>
      </w:r>
    </w:p>
    <w:p w14:paraId="7B5F09B8" w14:textId="23CE68E5" w:rsidR="004B444A" w:rsidRPr="0089630F" w:rsidRDefault="004B444A" w:rsidP="000C1DDE">
      <w:pPr>
        <w:pStyle w:val="ListParagraph"/>
        <w:numPr>
          <w:ilvl w:val="1"/>
          <w:numId w:val="31"/>
        </w:numPr>
        <w:spacing w:before="240" w:after="120"/>
        <w:ind w:left="709" w:hanging="709"/>
        <w:contextualSpacing w:val="0"/>
        <w:jc w:val="both"/>
        <w:rPr>
          <w:lang w:val="en-GB"/>
        </w:rPr>
      </w:pPr>
      <w:r w:rsidRPr="0089630F">
        <w:rPr>
          <w:lang w:val="en-GB"/>
        </w:rPr>
        <w:t xml:space="preserve">Strategic questions for the consideration of governments and other stakeholders will guide and steer the MTR SF. These are provided in </w:t>
      </w:r>
      <w:r w:rsidR="00D60180" w:rsidRPr="0089630F">
        <w:rPr>
          <w:lang w:val="en-GB"/>
        </w:rPr>
        <w:t>the Appendix</w:t>
      </w:r>
      <w:r w:rsidRPr="0089630F">
        <w:rPr>
          <w:lang w:val="en-GB"/>
        </w:rPr>
        <w:t xml:space="preserve"> to this concept note.</w:t>
      </w:r>
    </w:p>
    <w:p w14:paraId="0804E4A3" w14:textId="77777777" w:rsidR="004B444A" w:rsidRPr="0089630F" w:rsidRDefault="004B444A" w:rsidP="000C1DDE">
      <w:pPr>
        <w:pStyle w:val="ListParagraph"/>
        <w:numPr>
          <w:ilvl w:val="1"/>
          <w:numId w:val="31"/>
        </w:numPr>
        <w:spacing w:before="240" w:after="120"/>
        <w:ind w:left="709" w:hanging="709"/>
        <w:contextualSpacing w:val="0"/>
        <w:jc w:val="both"/>
        <w:rPr>
          <w:lang w:val="en-GB"/>
        </w:rPr>
      </w:pPr>
      <w:r w:rsidRPr="0089630F">
        <w:rPr>
          <w:lang w:val="en-GB"/>
        </w:rPr>
        <w:t>Member States and other stakeholders will be invited to consider key enablers and challenges observed since 2015 – for instance institutional, social, political, financial, organisational or thematic – and to examine and bring attention to issues emerging since the adoption of the Sendai Framework that will need to be considered in implementation through to 2030 and beyond – for example, the COVID-19 pandemic’s clear demonstration of how the systemic nature of risk is overwhelming existing international / national risk governance and management mechanisms and approaches for dealing with complex, interconnected multi-hazard risks.</w:t>
      </w:r>
    </w:p>
    <w:p w14:paraId="3EC40061" w14:textId="77777777" w:rsidR="004B444A" w:rsidRPr="0089630F" w:rsidRDefault="004B444A" w:rsidP="000C1DDE">
      <w:pPr>
        <w:pStyle w:val="ListParagraph"/>
        <w:numPr>
          <w:ilvl w:val="1"/>
          <w:numId w:val="31"/>
        </w:numPr>
        <w:spacing w:before="240" w:after="120"/>
        <w:ind w:left="709" w:hanging="709"/>
        <w:contextualSpacing w:val="0"/>
        <w:jc w:val="both"/>
        <w:rPr>
          <w:lang w:val="en-GB"/>
        </w:rPr>
      </w:pPr>
      <w:r w:rsidRPr="0089630F">
        <w:rPr>
          <w:lang w:val="en-GB"/>
        </w:rPr>
        <w:t xml:space="preserve">Through consultations and review, Member States and other stakeholders are invited to make recommendations for </w:t>
      </w:r>
      <w:r w:rsidRPr="0089630F">
        <w:rPr>
          <w:rFonts w:cstheme="minorHAnsi"/>
          <w:lang w:val="en-GB"/>
        </w:rPr>
        <w:t xml:space="preserve">potential policy adjustments and new modalities for implementation for the second half of the duration of the Sendai Framework, </w:t>
      </w:r>
      <w:r w:rsidRPr="0089630F">
        <w:rPr>
          <w:lang w:val="en-GB"/>
        </w:rPr>
        <w:t>that may for instance pertain to international or national risk governance, risk analysis and assessment, coherence across sectors and agendas, partnerships and collaboration, and identify priority actions and critical achievements for the period 2023-2030 avoiding a return to business as usual, and recognisant of the context revealed so markedly by the COVID-19 pandemic, addressing the systemic nature of risk.</w:t>
      </w:r>
    </w:p>
    <w:p w14:paraId="004F67CD" w14:textId="77777777" w:rsidR="004B444A" w:rsidRPr="0089630F" w:rsidRDefault="004B444A" w:rsidP="000C1DDE">
      <w:pPr>
        <w:pStyle w:val="ListParagraph"/>
        <w:numPr>
          <w:ilvl w:val="1"/>
          <w:numId w:val="31"/>
        </w:numPr>
        <w:spacing w:before="240" w:after="120"/>
        <w:ind w:left="709" w:hanging="709"/>
        <w:contextualSpacing w:val="0"/>
        <w:jc w:val="both"/>
        <w:rPr>
          <w:lang w:val="en-GB"/>
        </w:rPr>
      </w:pPr>
      <w:r w:rsidRPr="0089630F">
        <w:rPr>
          <w:lang w:val="en-GB"/>
        </w:rPr>
        <w:t>To guide deliberations, review and recommendations of the MTR SF, Member States and stakeholders are encouraged to consider the following cross-cutting themes:</w:t>
      </w:r>
    </w:p>
    <w:p w14:paraId="014DDFCB" w14:textId="77777777" w:rsidR="004B444A" w:rsidRPr="0089630F" w:rsidRDefault="004B444A" w:rsidP="000C1DDE">
      <w:pPr>
        <w:pStyle w:val="ListParagraph"/>
        <w:numPr>
          <w:ilvl w:val="0"/>
          <w:numId w:val="32"/>
        </w:numPr>
        <w:spacing w:before="120" w:after="120"/>
        <w:ind w:left="1417" w:hanging="357"/>
        <w:contextualSpacing w:val="0"/>
        <w:jc w:val="both"/>
        <w:rPr>
          <w:lang w:val="en-GB"/>
        </w:rPr>
      </w:pPr>
      <w:r w:rsidRPr="0089630F">
        <w:rPr>
          <w:lang w:val="en-GB"/>
        </w:rPr>
        <w:t xml:space="preserve">Upgrading international, national and local risk governance and risk management mechanisms and approaches to be able to deal with the multi-hazard, systemic nature of risk. Exploring agile and adaptive learning approaches, and vertically and horizontally integrated risk governance. </w:t>
      </w:r>
    </w:p>
    <w:p w14:paraId="238F2AB1" w14:textId="77777777" w:rsidR="004B444A" w:rsidRPr="0089630F" w:rsidRDefault="004B444A" w:rsidP="000C1DDE">
      <w:pPr>
        <w:pStyle w:val="ListParagraph"/>
        <w:numPr>
          <w:ilvl w:val="0"/>
          <w:numId w:val="32"/>
        </w:numPr>
        <w:spacing w:before="120" w:after="120"/>
        <w:ind w:left="1417" w:hanging="357"/>
        <w:contextualSpacing w:val="0"/>
        <w:jc w:val="both"/>
        <w:rPr>
          <w:lang w:val="en-GB"/>
        </w:rPr>
      </w:pPr>
      <w:r w:rsidRPr="0089630F">
        <w:rPr>
          <w:lang w:val="en-GB"/>
        </w:rPr>
        <w:t>Novel, inclusive, multi-scale partnerships for disaster risk reduction, that promote systems thinking through problem framing, synthesis, option identification and learning approaches.</w:t>
      </w:r>
    </w:p>
    <w:p w14:paraId="46659623" w14:textId="77777777" w:rsidR="004B444A" w:rsidRPr="0089630F" w:rsidRDefault="004B444A" w:rsidP="000C1DDE">
      <w:pPr>
        <w:pStyle w:val="ListParagraph"/>
        <w:numPr>
          <w:ilvl w:val="0"/>
          <w:numId w:val="32"/>
        </w:numPr>
        <w:spacing w:before="120" w:after="120"/>
        <w:ind w:left="1417" w:hanging="357"/>
        <w:contextualSpacing w:val="0"/>
        <w:jc w:val="both"/>
        <w:rPr>
          <w:lang w:val="en-GB"/>
        </w:rPr>
      </w:pPr>
      <w:r w:rsidRPr="0089630F">
        <w:rPr>
          <w:lang w:val="en-GB"/>
        </w:rPr>
        <w:t>Integrating disaster risk reduction in poverty reduction, sustainable development, and efforts to address climate change, threats to biological diversity, as well as in the humanitarian, development and peace nexus.</w:t>
      </w:r>
    </w:p>
    <w:p w14:paraId="423DA6F7" w14:textId="77777777" w:rsidR="004B444A" w:rsidRPr="0089630F" w:rsidRDefault="004B444A" w:rsidP="000C1DDE">
      <w:pPr>
        <w:pStyle w:val="ListParagraph"/>
        <w:numPr>
          <w:ilvl w:val="0"/>
          <w:numId w:val="32"/>
        </w:numPr>
        <w:spacing w:before="120" w:after="120"/>
        <w:ind w:left="1417" w:hanging="357"/>
        <w:contextualSpacing w:val="0"/>
        <w:jc w:val="both"/>
        <w:rPr>
          <w:lang w:val="en-GB"/>
        </w:rPr>
      </w:pPr>
      <w:r w:rsidRPr="0089630F">
        <w:rPr>
          <w:lang w:val="en-GB"/>
        </w:rPr>
        <w:t>Disaster risk reduction and its contribution to food security, reliable and sustainable energy, and integrated water management.</w:t>
      </w:r>
    </w:p>
    <w:p w14:paraId="523B1AEF" w14:textId="6D7EF39A" w:rsidR="004B444A" w:rsidRPr="0089630F" w:rsidRDefault="004B444A" w:rsidP="000C1DDE">
      <w:pPr>
        <w:pStyle w:val="ListParagraph"/>
        <w:numPr>
          <w:ilvl w:val="0"/>
          <w:numId w:val="32"/>
        </w:numPr>
        <w:spacing w:before="120" w:after="120"/>
        <w:ind w:left="1417" w:hanging="357"/>
        <w:contextualSpacing w:val="0"/>
        <w:jc w:val="both"/>
        <w:rPr>
          <w:lang w:val="en-GB"/>
        </w:rPr>
      </w:pPr>
      <w:r w:rsidRPr="0089630F">
        <w:rPr>
          <w:lang w:val="en-GB"/>
        </w:rPr>
        <w:t>All-of-society engagement, promoting empowerment and participation of all groups</w:t>
      </w:r>
      <w:r w:rsidRPr="0089630F">
        <w:rPr>
          <w:rFonts w:ascii="ZWAdobeF" w:hAnsi="ZWAdobeF" w:cs="ZWAdobeF"/>
          <w:sz w:val="2"/>
          <w:szCs w:val="2"/>
          <w:lang w:val="en-GB"/>
        </w:rPr>
        <w:t>13F</w:t>
      </w:r>
      <w:r w:rsidR="000C1DDE">
        <w:rPr>
          <w:rFonts w:ascii="ZWAdobeF" w:hAnsi="ZWAdobeF" w:cs="ZWAdobeF"/>
          <w:sz w:val="2"/>
          <w:szCs w:val="2"/>
          <w:lang w:val="en-GB"/>
        </w:rPr>
        <w:t>26F</w:t>
      </w:r>
      <w:r w:rsidRPr="0089630F">
        <w:rPr>
          <w:rStyle w:val="FootnoteReference"/>
          <w:lang w:val="en-GB"/>
        </w:rPr>
        <w:footnoteReference w:id="27"/>
      </w:r>
      <w:r w:rsidRPr="0089630F">
        <w:rPr>
          <w:lang w:val="en-GB"/>
        </w:rPr>
        <w:t xml:space="preserve"> in reducing risk, leaving no one behind.</w:t>
      </w:r>
    </w:p>
    <w:p w14:paraId="40852E6C" w14:textId="77777777" w:rsidR="004B444A" w:rsidRPr="0089630F" w:rsidRDefault="004B444A" w:rsidP="000C1DDE">
      <w:pPr>
        <w:pStyle w:val="ListParagraph"/>
        <w:numPr>
          <w:ilvl w:val="0"/>
          <w:numId w:val="32"/>
        </w:numPr>
        <w:spacing w:before="120" w:after="120"/>
        <w:ind w:left="1417" w:hanging="357"/>
        <w:contextualSpacing w:val="0"/>
        <w:jc w:val="both"/>
        <w:rPr>
          <w:lang w:val="en-GB"/>
        </w:rPr>
      </w:pPr>
      <w:r w:rsidRPr="0089630F">
        <w:rPr>
          <w:lang w:val="en-GB"/>
        </w:rPr>
        <w:lastRenderedPageBreak/>
        <w:t>Capturing qualitative aspects of efforts to reduce disaster risk, beyond quantitative targets.</w:t>
      </w:r>
    </w:p>
    <w:p w14:paraId="5052B8C7" w14:textId="77777777" w:rsidR="004B444A" w:rsidRPr="0089630F" w:rsidRDefault="004B444A" w:rsidP="000C1DDE">
      <w:pPr>
        <w:pStyle w:val="ListParagraph"/>
        <w:numPr>
          <w:ilvl w:val="0"/>
          <w:numId w:val="32"/>
        </w:numPr>
        <w:spacing w:before="120" w:after="120"/>
        <w:ind w:left="1417" w:hanging="357"/>
        <w:contextualSpacing w:val="0"/>
        <w:jc w:val="both"/>
        <w:rPr>
          <w:lang w:val="en-GB"/>
        </w:rPr>
      </w:pPr>
      <w:r w:rsidRPr="0089630F">
        <w:rPr>
          <w:lang w:val="en-GB"/>
        </w:rPr>
        <w:t>Financing and investing in prevention, including through accurately pricing and integrating risk in all financial transactions, financial reporting protocols and international accounting standards, credit ratings and credit reserves, national public investment decisions, notably in respect of expenditure supporting the SDGs.</w:t>
      </w:r>
    </w:p>
    <w:p w14:paraId="10879871" w14:textId="77777777" w:rsidR="004B444A" w:rsidRPr="0089630F" w:rsidRDefault="004B444A" w:rsidP="004B444A">
      <w:pPr>
        <w:rPr>
          <w:lang w:val="en-GB"/>
        </w:rPr>
      </w:pPr>
      <w:r w:rsidRPr="0089630F">
        <w:rPr>
          <w:lang w:val="en-GB"/>
        </w:rPr>
        <w:t>Consideration of the above themes does not preclude introduction of other themes that are specific to country context or domain.</w:t>
      </w:r>
    </w:p>
    <w:p w14:paraId="3CEFDAFA" w14:textId="77777777" w:rsidR="004B444A" w:rsidRPr="0089630F" w:rsidRDefault="004B444A" w:rsidP="004B444A">
      <w:pPr>
        <w:rPr>
          <w:lang w:val="en-GB"/>
        </w:rPr>
        <w:sectPr w:rsidR="004B444A" w:rsidRPr="0089630F" w:rsidSect="0004178E">
          <w:headerReference w:type="default" r:id="rId29"/>
          <w:footerReference w:type="default" r:id="rId30"/>
          <w:pgSz w:w="11906" w:h="16838"/>
          <w:pgMar w:top="1440" w:right="1191" w:bottom="1440" w:left="1191" w:header="709" w:footer="709" w:gutter="0"/>
          <w:pgNumType w:start="1"/>
          <w:cols w:space="708"/>
          <w:docGrid w:linePitch="360"/>
        </w:sectPr>
      </w:pPr>
    </w:p>
    <w:p w14:paraId="58B07DF0" w14:textId="77777777" w:rsidR="004B444A" w:rsidRPr="0089630F" w:rsidRDefault="004B444A" w:rsidP="000C1DDE">
      <w:pPr>
        <w:pStyle w:val="Heading2"/>
        <w:numPr>
          <w:ilvl w:val="0"/>
          <w:numId w:val="33"/>
        </w:numPr>
        <w:spacing w:before="120" w:after="120"/>
        <w:ind w:left="714" w:hanging="357"/>
        <w:rPr>
          <w:b/>
          <w:bCs/>
          <w:sz w:val="32"/>
          <w:szCs w:val="32"/>
        </w:rPr>
      </w:pPr>
      <w:r w:rsidRPr="0089630F">
        <w:rPr>
          <w:b/>
          <w:bCs/>
          <w:sz w:val="32"/>
          <w:szCs w:val="32"/>
        </w:rPr>
        <w:lastRenderedPageBreak/>
        <w:t>Roadmap and Methodology for the MTR SF</w:t>
      </w:r>
    </w:p>
    <w:p w14:paraId="05DC4738" w14:textId="6265E7A5" w:rsidR="004B444A" w:rsidRPr="0089630F" w:rsidRDefault="00C85A48" w:rsidP="000C1DDE">
      <w:pPr>
        <w:pStyle w:val="Heading3"/>
        <w:numPr>
          <w:ilvl w:val="0"/>
          <w:numId w:val="42"/>
        </w:numPr>
        <w:spacing w:before="240" w:after="120"/>
        <w:ind w:left="357" w:hanging="357"/>
        <w:rPr>
          <w:color w:val="C00000"/>
          <w:sz w:val="28"/>
          <w:szCs w:val="28"/>
        </w:rPr>
      </w:pPr>
      <w:r w:rsidRPr="0089630F">
        <w:rPr>
          <w:noProof/>
          <w:color w:val="C00000"/>
          <w:sz w:val="28"/>
          <w:szCs w:val="28"/>
        </w:rPr>
        <w:drawing>
          <wp:anchor distT="0" distB="0" distL="114300" distR="114300" simplePos="0" relativeHeight="251660288" behindDoc="1" locked="0" layoutInCell="1" allowOverlap="1" wp14:anchorId="473B8EC5" wp14:editId="0671C9DA">
            <wp:simplePos x="0" y="0"/>
            <wp:positionH relativeFrom="margin">
              <wp:align>right</wp:align>
            </wp:positionH>
            <wp:positionV relativeFrom="paragraph">
              <wp:posOffset>379730</wp:posOffset>
            </wp:positionV>
            <wp:extent cx="7065010" cy="4415790"/>
            <wp:effectExtent l="19050" t="19050" r="21590" b="22860"/>
            <wp:wrapTight wrapText="bothSides">
              <wp:wrapPolygon edited="0">
                <wp:start x="-58" y="-93"/>
                <wp:lineTo x="-58" y="21619"/>
                <wp:lineTo x="21608" y="21619"/>
                <wp:lineTo x="21608" y="-93"/>
                <wp:lineTo x="-58" y="-93"/>
              </wp:wrapPolygon>
            </wp:wrapTight>
            <wp:docPr id="137" name="Picture 137" descr="P396#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Picture 137" descr="P396#y1"/>
                    <pic:cNvPicPr/>
                  </pic:nvPicPr>
                  <pic:blipFill>
                    <a:blip r:embed="rId31">
                      <a:extLst>
                        <a:ext uri="{28A0092B-C50C-407E-A947-70E740481C1C}">
                          <a14:useLocalDpi xmlns:a14="http://schemas.microsoft.com/office/drawing/2010/main" val="0"/>
                        </a:ext>
                      </a:extLst>
                    </a:blip>
                    <a:stretch>
                      <a:fillRect/>
                    </a:stretch>
                  </pic:blipFill>
                  <pic:spPr>
                    <a:xfrm>
                      <a:off x="0" y="0"/>
                      <a:ext cx="7065010" cy="4415790"/>
                    </a:xfrm>
                    <a:prstGeom prst="rect">
                      <a:avLst/>
                    </a:prstGeom>
                    <a:ln w="3175">
                      <a:solidFill>
                        <a:schemeClr val="bg1">
                          <a:lumMod val="85000"/>
                        </a:schemeClr>
                      </a:solidFill>
                    </a:ln>
                  </pic:spPr>
                </pic:pic>
              </a:graphicData>
            </a:graphic>
            <wp14:sizeRelH relativeFrom="margin">
              <wp14:pctWidth>0</wp14:pctWidth>
            </wp14:sizeRelH>
            <wp14:sizeRelV relativeFrom="margin">
              <wp14:pctHeight>0</wp14:pctHeight>
            </wp14:sizeRelV>
          </wp:anchor>
        </w:drawing>
      </w:r>
      <w:r w:rsidR="004B444A" w:rsidRPr="0089630F">
        <w:rPr>
          <w:color w:val="C00000"/>
          <w:sz w:val="28"/>
          <w:szCs w:val="28"/>
        </w:rPr>
        <w:t>Roadmap</w:t>
      </w:r>
    </w:p>
    <w:p w14:paraId="6EA4D973" w14:textId="3A543C6D" w:rsidR="004B444A" w:rsidRPr="0089630F" w:rsidRDefault="004B444A" w:rsidP="000C1DDE">
      <w:pPr>
        <w:pStyle w:val="ListParagraph"/>
        <w:numPr>
          <w:ilvl w:val="1"/>
          <w:numId w:val="41"/>
        </w:numPr>
        <w:spacing w:before="240" w:after="120"/>
        <w:ind w:left="567" w:hanging="567"/>
        <w:contextualSpacing w:val="0"/>
        <w:jc w:val="both"/>
        <w:rPr>
          <w:lang w:val="en-GB"/>
        </w:rPr>
      </w:pPr>
      <w:r w:rsidRPr="0089630F">
        <w:rPr>
          <w:lang w:val="en-GB"/>
        </w:rPr>
        <w:t>The MTR SF commences in October 2021</w:t>
      </w:r>
      <w:r w:rsidRPr="0089630F">
        <w:rPr>
          <w:rFonts w:ascii="ZWAdobeF" w:hAnsi="ZWAdobeF" w:cs="ZWAdobeF"/>
          <w:sz w:val="2"/>
          <w:szCs w:val="2"/>
          <w:lang w:val="en-GB"/>
        </w:rPr>
        <w:t>14F</w:t>
      </w:r>
      <w:r w:rsidR="000C1DDE">
        <w:rPr>
          <w:rFonts w:ascii="ZWAdobeF" w:hAnsi="ZWAdobeF" w:cs="ZWAdobeF"/>
          <w:sz w:val="2"/>
          <w:szCs w:val="2"/>
          <w:lang w:val="en-GB"/>
        </w:rPr>
        <w:t>27F</w:t>
      </w:r>
      <w:r w:rsidRPr="0089630F">
        <w:rPr>
          <w:rStyle w:val="FootnoteReference"/>
          <w:lang w:val="en-GB"/>
        </w:rPr>
        <w:footnoteReference w:id="28"/>
      </w:r>
      <w:r w:rsidRPr="0089630F">
        <w:rPr>
          <w:lang w:val="en-GB"/>
        </w:rPr>
        <w:t xml:space="preserve">. Member States and stakeholders are invited to initiate consultations and reviews immediately, to run concurrently with commissioned studies, a literature review, and online debates and dialogues. </w:t>
      </w:r>
    </w:p>
    <w:p w14:paraId="7BC8ED14" w14:textId="08691D45" w:rsidR="004E06C9" w:rsidRPr="0089630F" w:rsidRDefault="004B444A" w:rsidP="000C1DDE">
      <w:pPr>
        <w:pStyle w:val="ListParagraph"/>
        <w:numPr>
          <w:ilvl w:val="1"/>
          <w:numId w:val="41"/>
        </w:numPr>
        <w:spacing w:before="240" w:after="120"/>
        <w:ind w:left="567" w:hanging="567"/>
        <w:contextualSpacing w:val="0"/>
        <w:jc w:val="both"/>
        <w:rPr>
          <w:lang w:val="en-GB"/>
        </w:rPr>
      </w:pPr>
      <w:r w:rsidRPr="0089630F">
        <w:rPr>
          <w:lang w:val="en-GB"/>
        </w:rPr>
        <w:t xml:space="preserve">As requested by the UN Secretary-General, countries are encouraged to begin national and regional review processes before the end of 2021 in order to conclude by Quarter 3 of 2022, whereupon the drafting of the Main Report of the MTR SF begins. </w:t>
      </w:r>
    </w:p>
    <w:p w14:paraId="16AED50C" w14:textId="5D50B1FC" w:rsidR="004E06C9" w:rsidRPr="0089630F" w:rsidRDefault="004E06C9" w:rsidP="004B444A">
      <w:pPr>
        <w:rPr>
          <w:lang w:val="en-GB"/>
        </w:rPr>
        <w:sectPr w:rsidR="004E06C9" w:rsidRPr="0089630F" w:rsidSect="004B444A">
          <w:headerReference w:type="default" r:id="rId32"/>
          <w:footerReference w:type="default" r:id="rId33"/>
          <w:pgSz w:w="16838" w:h="11906" w:orient="landscape"/>
          <w:pgMar w:top="1440" w:right="1304" w:bottom="1440" w:left="1304" w:header="708" w:footer="708" w:gutter="0"/>
          <w:cols w:space="708"/>
          <w:docGrid w:linePitch="360"/>
        </w:sectPr>
      </w:pPr>
    </w:p>
    <w:p w14:paraId="7F6F7039" w14:textId="77777777" w:rsidR="004B444A" w:rsidRPr="0089630F" w:rsidRDefault="004B444A" w:rsidP="000C1DDE">
      <w:pPr>
        <w:pStyle w:val="Heading3"/>
        <w:numPr>
          <w:ilvl w:val="0"/>
          <w:numId w:val="42"/>
        </w:numPr>
        <w:spacing w:before="240" w:after="120"/>
        <w:ind w:left="357" w:hanging="357"/>
        <w:rPr>
          <w:color w:val="C00000"/>
          <w:sz w:val="28"/>
          <w:szCs w:val="28"/>
        </w:rPr>
      </w:pPr>
      <w:r w:rsidRPr="0089630F">
        <w:rPr>
          <w:color w:val="C00000"/>
          <w:sz w:val="28"/>
          <w:szCs w:val="28"/>
        </w:rPr>
        <w:lastRenderedPageBreak/>
        <w:t>Methodology and Timeline</w:t>
      </w:r>
    </w:p>
    <w:p w14:paraId="71313AE8" w14:textId="77777777" w:rsidR="004B444A" w:rsidRPr="0089630F" w:rsidRDefault="004B444A" w:rsidP="000C1DDE">
      <w:pPr>
        <w:pStyle w:val="ListParagraph"/>
        <w:numPr>
          <w:ilvl w:val="1"/>
          <w:numId w:val="42"/>
        </w:numPr>
        <w:spacing w:before="240" w:after="240"/>
        <w:ind w:left="709" w:hanging="709"/>
        <w:contextualSpacing w:val="0"/>
        <w:jc w:val="both"/>
        <w:rPr>
          <w:lang w:val="en-GB"/>
        </w:rPr>
      </w:pPr>
      <w:r w:rsidRPr="0089630F">
        <w:rPr>
          <w:lang w:val="en-GB"/>
        </w:rPr>
        <w:t xml:space="preserve">The MTR SF will be coordinated by UNDRR and will be an inclusive, multi-stakeholder-led review, consistent with the Sendai Framework as an all-of-society, all-of-government institutions, multistakeholder undertaking. The review will generate consultations, review and recommendations of Member States, IGOs and other stakeholders at global, regional, national and sub-national/local levels. </w:t>
      </w:r>
    </w:p>
    <w:p w14:paraId="08ADCE65" w14:textId="77777777" w:rsidR="004B444A" w:rsidRPr="0089630F" w:rsidRDefault="004B444A" w:rsidP="000C1DDE">
      <w:pPr>
        <w:pStyle w:val="ListParagraph"/>
        <w:numPr>
          <w:ilvl w:val="1"/>
          <w:numId w:val="42"/>
        </w:numPr>
        <w:spacing w:before="240" w:after="120"/>
        <w:ind w:left="709" w:hanging="709"/>
        <w:contextualSpacing w:val="0"/>
        <w:jc w:val="both"/>
        <w:rPr>
          <w:lang w:val="en-GB"/>
        </w:rPr>
      </w:pPr>
      <w:r w:rsidRPr="0089630F">
        <w:rPr>
          <w:lang w:val="en-GB"/>
        </w:rPr>
        <w:t>While States have the primary responsibility to prevent and reduce disaster risk, mirroring the Sendai Framework, the MTR SF will benefit from contributions of different constituencies – leading either constituent-specific, or multi-stakeholder and multi-scalar, consultations and review. In addition to Member States and regional intergovernmental organizations, stakeholders can include:</w:t>
      </w:r>
    </w:p>
    <w:tbl>
      <w:tblPr>
        <w:tblStyle w:val="TableGrid"/>
        <w:tblW w:w="8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9"/>
        <w:gridCol w:w="3971"/>
      </w:tblGrid>
      <w:tr w:rsidR="004B444A" w:rsidRPr="0089630F" w14:paraId="736BE003" w14:textId="77777777" w:rsidTr="004B444A">
        <w:trPr>
          <w:jc w:val="center"/>
        </w:trPr>
        <w:tc>
          <w:tcPr>
            <w:tcW w:w="4109" w:type="dxa"/>
            <w:vAlign w:val="center"/>
          </w:tcPr>
          <w:p w14:paraId="0ED3B2C4" w14:textId="77777777" w:rsidR="004B444A" w:rsidRPr="0089630F" w:rsidRDefault="004B444A" w:rsidP="000C1DDE">
            <w:pPr>
              <w:pStyle w:val="ListParagraph"/>
              <w:numPr>
                <w:ilvl w:val="0"/>
                <w:numId w:val="35"/>
              </w:numPr>
              <w:spacing w:before="60" w:after="60"/>
              <w:ind w:left="600" w:hanging="357"/>
              <w:contextualSpacing w:val="0"/>
              <w:rPr>
                <w:lang w:val="en-GB"/>
              </w:rPr>
            </w:pPr>
            <w:r w:rsidRPr="0089630F">
              <w:rPr>
                <w:rFonts w:eastAsia="Times New Roman" w:cs="Calibri"/>
                <w:color w:val="000000"/>
                <w:lang w:val="en-GB"/>
              </w:rPr>
              <w:t>Business and industry</w:t>
            </w:r>
            <w:r w:rsidRPr="0089630F" w:rsidDel="008F4D84">
              <w:rPr>
                <w:rFonts w:eastAsia="Times New Roman" w:cs="Calibri"/>
                <w:color w:val="000000"/>
                <w:lang w:val="en-GB"/>
              </w:rPr>
              <w:t xml:space="preserve"> </w:t>
            </w:r>
          </w:p>
        </w:tc>
        <w:tc>
          <w:tcPr>
            <w:tcW w:w="3971" w:type="dxa"/>
            <w:vAlign w:val="center"/>
          </w:tcPr>
          <w:p w14:paraId="6A7DB3E9" w14:textId="77777777" w:rsidR="004B444A" w:rsidRPr="0089630F" w:rsidRDefault="004B444A" w:rsidP="000C1DDE">
            <w:pPr>
              <w:pStyle w:val="ListParagraph"/>
              <w:numPr>
                <w:ilvl w:val="0"/>
                <w:numId w:val="35"/>
              </w:numPr>
              <w:spacing w:before="60" w:after="60"/>
              <w:ind w:left="453" w:hanging="357"/>
              <w:contextualSpacing w:val="0"/>
              <w:rPr>
                <w:lang w:val="en-GB"/>
              </w:rPr>
            </w:pPr>
            <w:r w:rsidRPr="0089630F">
              <w:rPr>
                <w:rFonts w:eastAsia="Times New Roman" w:cs="Calibri"/>
                <w:color w:val="000000"/>
                <w:lang w:val="en-GB"/>
              </w:rPr>
              <w:t>Children and youth</w:t>
            </w:r>
            <w:r w:rsidRPr="0089630F" w:rsidDel="00C11E58">
              <w:rPr>
                <w:rFonts w:eastAsia="Times New Roman" w:cs="Calibri"/>
                <w:color w:val="000000"/>
                <w:lang w:val="en-GB"/>
              </w:rPr>
              <w:t xml:space="preserve"> </w:t>
            </w:r>
          </w:p>
        </w:tc>
      </w:tr>
      <w:tr w:rsidR="004B444A" w:rsidRPr="0089630F" w14:paraId="5D22EC94" w14:textId="77777777" w:rsidTr="004B444A">
        <w:trPr>
          <w:jc w:val="center"/>
        </w:trPr>
        <w:tc>
          <w:tcPr>
            <w:tcW w:w="4109" w:type="dxa"/>
            <w:vAlign w:val="center"/>
          </w:tcPr>
          <w:p w14:paraId="0C7DC249" w14:textId="77777777" w:rsidR="004B444A" w:rsidRPr="0089630F" w:rsidRDefault="004B444A" w:rsidP="000C1DDE">
            <w:pPr>
              <w:pStyle w:val="ListParagraph"/>
              <w:numPr>
                <w:ilvl w:val="0"/>
                <w:numId w:val="35"/>
              </w:numPr>
              <w:spacing w:before="60" w:after="60" w:line="259" w:lineRule="auto"/>
              <w:ind w:left="600" w:hanging="357"/>
              <w:contextualSpacing w:val="0"/>
              <w:rPr>
                <w:lang w:val="en-GB"/>
              </w:rPr>
            </w:pPr>
            <w:r w:rsidRPr="0089630F">
              <w:rPr>
                <w:rFonts w:eastAsia="Times New Roman" w:cs="Calibri"/>
                <w:color w:val="000000"/>
                <w:lang w:val="en-GB"/>
              </w:rPr>
              <w:t>Civil society / non-governmental organizations</w:t>
            </w:r>
            <w:r w:rsidRPr="0089630F" w:rsidDel="00C11E58">
              <w:rPr>
                <w:rFonts w:eastAsia="Times New Roman" w:cs="Calibri"/>
                <w:color w:val="000000"/>
                <w:lang w:val="en-GB"/>
              </w:rPr>
              <w:t xml:space="preserve"> </w:t>
            </w:r>
          </w:p>
        </w:tc>
        <w:tc>
          <w:tcPr>
            <w:tcW w:w="3971" w:type="dxa"/>
            <w:vAlign w:val="center"/>
          </w:tcPr>
          <w:p w14:paraId="4F933346" w14:textId="77777777" w:rsidR="004B444A" w:rsidRPr="0089630F" w:rsidRDefault="004B444A" w:rsidP="000C1DDE">
            <w:pPr>
              <w:pStyle w:val="ListParagraph"/>
              <w:numPr>
                <w:ilvl w:val="0"/>
                <w:numId w:val="39"/>
              </w:numPr>
              <w:spacing w:before="60" w:after="60"/>
              <w:ind w:left="453"/>
              <w:contextualSpacing w:val="0"/>
              <w:rPr>
                <w:lang w:val="en-GB"/>
              </w:rPr>
            </w:pPr>
            <w:r w:rsidRPr="0089630F">
              <w:rPr>
                <w:rFonts w:eastAsia="Times New Roman" w:cs="Calibri"/>
                <w:color w:val="000000"/>
                <w:lang w:val="en-GB"/>
              </w:rPr>
              <w:t>Education and academia</w:t>
            </w:r>
          </w:p>
        </w:tc>
      </w:tr>
      <w:tr w:rsidR="004B444A" w:rsidRPr="0089630F" w14:paraId="4A5051AD" w14:textId="77777777" w:rsidTr="004B444A">
        <w:trPr>
          <w:jc w:val="center"/>
        </w:trPr>
        <w:tc>
          <w:tcPr>
            <w:tcW w:w="4109" w:type="dxa"/>
            <w:vAlign w:val="center"/>
          </w:tcPr>
          <w:p w14:paraId="1FDAD60A" w14:textId="77777777" w:rsidR="004B444A" w:rsidRPr="0089630F" w:rsidRDefault="004B444A" w:rsidP="000C1DDE">
            <w:pPr>
              <w:pStyle w:val="ListParagraph"/>
              <w:numPr>
                <w:ilvl w:val="0"/>
                <w:numId w:val="35"/>
              </w:numPr>
              <w:spacing w:before="60" w:after="60"/>
              <w:ind w:left="600" w:hanging="357"/>
              <w:contextualSpacing w:val="0"/>
              <w:rPr>
                <w:lang w:val="en-GB"/>
              </w:rPr>
            </w:pPr>
            <w:r w:rsidRPr="0089630F">
              <w:rPr>
                <w:rFonts w:eastAsia="Times New Roman" w:cs="Calibri"/>
                <w:color w:val="000000"/>
                <w:lang w:val="en-GB"/>
              </w:rPr>
              <w:t>Farmers</w:t>
            </w:r>
            <w:r w:rsidRPr="0089630F" w:rsidDel="00435905">
              <w:rPr>
                <w:rFonts w:eastAsia="Times New Roman" w:cs="Calibri"/>
                <w:color w:val="000000"/>
                <w:lang w:val="en-GB"/>
              </w:rPr>
              <w:t xml:space="preserve"> </w:t>
            </w:r>
          </w:p>
        </w:tc>
        <w:tc>
          <w:tcPr>
            <w:tcW w:w="3971" w:type="dxa"/>
            <w:vAlign w:val="center"/>
          </w:tcPr>
          <w:p w14:paraId="2952032B" w14:textId="77777777" w:rsidR="004B444A" w:rsidRPr="0089630F" w:rsidRDefault="004B444A" w:rsidP="000C1DDE">
            <w:pPr>
              <w:pStyle w:val="ListParagraph"/>
              <w:numPr>
                <w:ilvl w:val="0"/>
                <w:numId w:val="35"/>
              </w:numPr>
              <w:spacing w:before="60" w:after="60"/>
              <w:ind w:left="453" w:hanging="357"/>
              <w:contextualSpacing w:val="0"/>
              <w:rPr>
                <w:lang w:val="en-GB"/>
              </w:rPr>
            </w:pPr>
            <w:r w:rsidRPr="0089630F">
              <w:rPr>
                <w:rFonts w:eastAsia="Times New Roman" w:cs="Calibri"/>
                <w:color w:val="000000"/>
                <w:lang w:val="en-GB"/>
              </w:rPr>
              <w:t>Indigenous / traditional peoples</w:t>
            </w:r>
            <w:r w:rsidRPr="0089630F" w:rsidDel="00435905">
              <w:rPr>
                <w:rFonts w:eastAsia="Times New Roman" w:cs="Calibri"/>
                <w:color w:val="000000"/>
                <w:lang w:val="en-GB"/>
              </w:rPr>
              <w:t xml:space="preserve"> </w:t>
            </w:r>
          </w:p>
        </w:tc>
      </w:tr>
      <w:tr w:rsidR="004B444A" w:rsidRPr="0089630F" w14:paraId="63272A7C" w14:textId="77777777" w:rsidTr="004B444A">
        <w:trPr>
          <w:jc w:val="center"/>
        </w:trPr>
        <w:tc>
          <w:tcPr>
            <w:tcW w:w="4109" w:type="dxa"/>
            <w:vAlign w:val="center"/>
          </w:tcPr>
          <w:p w14:paraId="065A3783" w14:textId="77777777" w:rsidR="004B444A" w:rsidRPr="0089630F" w:rsidRDefault="004B444A" w:rsidP="000C1DDE">
            <w:pPr>
              <w:pStyle w:val="ListParagraph"/>
              <w:numPr>
                <w:ilvl w:val="0"/>
                <w:numId w:val="35"/>
              </w:numPr>
              <w:spacing w:before="60" w:after="60"/>
              <w:ind w:left="600" w:hanging="357"/>
              <w:contextualSpacing w:val="0"/>
              <w:rPr>
                <w:lang w:val="en-GB"/>
              </w:rPr>
            </w:pPr>
            <w:r w:rsidRPr="0089630F">
              <w:rPr>
                <w:rFonts w:eastAsia="Times New Roman" w:cs="Calibri"/>
                <w:color w:val="000000"/>
                <w:lang w:val="en-GB"/>
              </w:rPr>
              <w:t>International financial institutions</w:t>
            </w:r>
            <w:r w:rsidRPr="0089630F" w:rsidDel="00435905">
              <w:rPr>
                <w:rFonts w:eastAsia="Times New Roman" w:cs="Calibri"/>
                <w:color w:val="000000"/>
                <w:lang w:val="en-GB"/>
              </w:rPr>
              <w:t xml:space="preserve"> </w:t>
            </w:r>
          </w:p>
        </w:tc>
        <w:tc>
          <w:tcPr>
            <w:tcW w:w="3971" w:type="dxa"/>
            <w:vAlign w:val="center"/>
          </w:tcPr>
          <w:p w14:paraId="4E105203" w14:textId="77777777" w:rsidR="004B444A" w:rsidRPr="0089630F" w:rsidRDefault="004B444A" w:rsidP="000C1DDE">
            <w:pPr>
              <w:pStyle w:val="ListParagraph"/>
              <w:numPr>
                <w:ilvl w:val="0"/>
                <w:numId w:val="35"/>
              </w:numPr>
              <w:spacing w:before="60" w:after="60"/>
              <w:ind w:left="453" w:hanging="357"/>
              <w:contextualSpacing w:val="0"/>
              <w:rPr>
                <w:lang w:val="en-GB"/>
              </w:rPr>
            </w:pPr>
            <w:r w:rsidRPr="0089630F">
              <w:rPr>
                <w:rFonts w:eastAsia="Times New Roman" w:cs="Calibri"/>
                <w:color w:val="000000"/>
                <w:lang w:val="en-GB"/>
              </w:rPr>
              <w:t>Local authorities</w:t>
            </w:r>
            <w:r w:rsidRPr="0089630F" w:rsidDel="00435905">
              <w:rPr>
                <w:rFonts w:eastAsia="Times New Roman" w:cs="Calibri"/>
                <w:color w:val="000000"/>
                <w:lang w:val="en-GB"/>
              </w:rPr>
              <w:t xml:space="preserve"> </w:t>
            </w:r>
          </w:p>
        </w:tc>
      </w:tr>
      <w:tr w:rsidR="004B444A" w:rsidRPr="0089630F" w14:paraId="3AD26352" w14:textId="77777777" w:rsidTr="004B444A">
        <w:trPr>
          <w:jc w:val="center"/>
        </w:trPr>
        <w:tc>
          <w:tcPr>
            <w:tcW w:w="4109" w:type="dxa"/>
            <w:vAlign w:val="center"/>
          </w:tcPr>
          <w:p w14:paraId="7095B860" w14:textId="77777777" w:rsidR="004B444A" w:rsidRPr="0089630F" w:rsidRDefault="004B444A" w:rsidP="000C1DDE">
            <w:pPr>
              <w:pStyle w:val="ListParagraph"/>
              <w:numPr>
                <w:ilvl w:val="0"/>
                <w:numId w:val="35"/>
              </w:numPr>
              <w:spacing w:before="60" w:after="60"/>
              <w:ind w:left="600" w:hanging="357"/>
              <w:contextualSpacing w:val="0"/>
              <w:rPr>
                <w:lang w:val="en-GB"/>
              </w:rPr>
            </w:pPr>
            <w:r w:rsidRPr="0089630F">
              <w:rPr>
                <w:lang w:val="en-GB"/>
              </w:rPr>
              <w:t>Media</w:t>
            </w:r>
            <w:r w:rsidRPr="0089630F" w:rsidDel="00435905">
              <w:rPr>
                <w:rFonts w:eastAsia="Times New Roman" w:cs="Calibri"/>
                <w:color w:val="000000"/>
                <w:lang w:val="en-GB"/>
              </w:rPr>
              <w:t xml:space="preserve"> </w:t>
            </w:r>
          </w:p>
        </w:tc>
        <w:tc>
          <w:tcPr>
            <w:tcW w:w="3971" w:type="dxa"/>
            <w:vAlign w:val="center"/>
          </w:tcPr>
          <w:p w14:paraId="3ACF3934" w14:textId="77777777" w:rsidR="004B444A" w:rsidRPr="0089630F" w:rsidRDefault="004B444A" w:rsidP="000C1DDE">
            <w:pPr>
              <w:pStyle w:val="ListParagraph"/>
              <w:numPr>
                <w:ilvl w:val="0"/>
                <w:numId w:val="35"/>
              </w:numPr>
              <w:spacing w:before="60" w:after="60"/>
              <w:ind w:left="453" w:hanging="357"/>
              <w:contextualSpacing w:val="0"/>
              <w:rPr>
                <w:lang w:val="en-GB"/>
              </w:rPr>
            </w:pPr>
            <w:r w:rsidRPr="0089630F">
              <w:rPr>
                <w:rFonts w:eastAsia="Times New Roman" w:cs="Calibri"/>
                <w:color w:val="000000"/>
                <w:lang w:val="en-GB"/>
              </w:rPr>
              <w:t xml:space="preserve">Migrant and displaced persons </w:t>
            </w:r>
          </w:p>
        </w:tc>
      </w:tr>
      <w:tr w:rsidR="004B444A" w:rsidRPr="0089630F" w14:paraId="31AC2E35" w14:textId="77777777" w:rsidTr="004B444A">
        <w:trPr>
          <w:jc w:val="center"/>
        </w:trPr>
        <w:tc>
          <w:tcPr>
            <w:tcW w:w="4109" w:type="dxa"/>
            <w:vAlign w:val="center"/>
          </w:tcPr>
          <w:p w14:paraId="34391C0E" w14:textId="77777777" w:rsidR="004B444A" w:rsidRPr="0089630F" w:rsidRDefault="004B444A" w:rsidP="000C1DDE">
            <w:pPr>
              <w:pStyle w:val="ListParagraph"/>
              <w:numPr>
                <w:ilvl w:val="0"/>
                <w:numId w:val="35"/>
              </w:numPr>
              <w:spacing w:before="60" w:after="60"/>
              <w:ind w:left="600" w:hanging="357"/>
              <w:contextualSpacing w:val="0"/>
              <w:rPr>
                <w:lang w:val="en-GB"/>
              </w:rPr>
            </w:pPr>
            <w:r w:rsidRPr="0089630F">
              <w:rPr>
                <w:rFonts w:eastAsia="Times New Roman" w:cs="Calibri"/>
                <w:color w:val="000000"/>
                <w:lang w:val="en-GB"/>
              </w:rPr>
              <w:t>Older persons (Ageing)</w:t>
            </w:r>
          </w:p>
        </w:tc>
        <w:tc>
          <w:tcPr>
            <w:tcW w:w="3971" w:type="dxa"/>
            <w:vAlign w:val="center"/>
          </w:tcPr>
          <w:p w14:paraId="0DF601B5" w14:textId="77777777" w:rsidR="004B444A" w:rsidRPr="0089630F" w:rsidRDefault="004B444A" w:rsidP="000C1DDE">
            <w:pPr>
              <w:pStyle w:val="ListParagraph"/>
              <w:numPr>
                <w:ilvl w:val="0"/>
                <w:numId w:val="35"/>
              </w:numPr>
              <w:spacing w:before="60" w:after="60"/>
              <w:ind w:left="453" w:hanging="357"/>
              <w:contextualSpacing w:val="0"/>
              <w:rPr>
                <w:lang w:val="en-GB"/>
              </w:rPr>
            </w:pPr>
            <w:r w:rsidRPr="0089630F">
              <w:rPr>
                <w:rFonts w:eastAsia="Times New Roman" w:cs="Calibri"/>
                <w:color w:val="000000"/>
                <w:lang w:val="en-GB"/>
              </w:rPr>
              <w:t xml:space="preserve">Persons with disabilities </w:t>
            </w:r>
          </w:p>
        </w:tc>
      </w:tr>
      <w:tr w:rsidR="004B444A" w:rsidRPr="0089630F" w14:paraId="7FCCCF46" w14:textId="77777777" w:rsidTr="004B444A">
        <w:trPr>
          <w:jc w:val="center"/>
        </w:trPr>
        <w:tc>
          <w:tcPr>
            <w:tcW w:w="4109" w:type="dxa"/>
            <w:vAlign w:val="center"/>
          </w:tcPr>
          <w:p w14:paraId="35757C99" w14:textId="77777777" w:rsidR="004B444A" w:rsidRPr="0089630F" w:rsidRDefault="004B444A" w:rsidP="000C1DDE">
            <w:pPr>
              <w:pStyle w:val="ListParagraph"/>
              <w:numPr>
                <w:ilvl w:val="0"/>
                <w:numId w:val="35"/>
              </w:numPr>
              <w:spacing w:before="60" w:after="60"/>
              <w:ind w:left="600" w:hanging="357"/>
              <w:contextualSpacing w:val="0"/>
              <w:rPr>
                <w:lang w:val="en-GB"/>
              </w:rPr>
            </w:pPr>
            <w:r w:rsidRPr="0089630F">
              <w:rPr>
                <w:rFonts w:eastAsia="Times New Roman" w:cs="Calibri"/>
                <w:color w:val="000000"/>
                <w:lang w:val="en-GB"/>
              </w:rPr>
              <w:t xml:space="preserve">Parliamentarians </w:t>
            </w:r>
          </w:p>
        </w:tc>
        <w:tc>
          <w:tcPr>
            <w:tcW w:w="3971" w:type="dxa"/>
            <w:vAlign w:val="center"/>
          </w:tcPr>
          <w:p w14:paraId="7739CF26" w14:textId="77777777" w:rsidR="004B444A" w:rsidRPr="0089630F" w:rsidRDefault="004B444A" w:rsidP="000C1DDE">
            <w:pPr>
              <w:pStyle w:val="ListParagraph"/>
              <w:numPr>
                <w:ilvl w:val="0"/>
                <w:numId w:val="35"/>
              </w:numPr>
              <w:spacing w:before="60" w:after="60"/>
              <w:ind w:left="453" w:hanging="357"/>
              <w:contextualSpacing w:val="0"/>
              <w:rPr>
                <w:lang w:val="en-GB"/>
              </w:rPr>
            </w:pPr>
            <w:r w:rsidRPr="0089630F">
              <w:rPr>
                <w:rFonts w:eastAsia="Times New Roman" w:cs="Calibri"/>
                <w:color w:val="000000"/>
                <w:lang w:val="en-GB"/>
              </w:rPr>
              <w:t xml:space="preserve">Private philanthropic organizations, foundations </w:t>
            </w:r>
          </w:p>
        </w:tc>
      </w:tr>
      <w:tr w:rsidR="004B444A" w:rsidRPr="0089630F" w14:paraId="7293B3AC" w14:textId="77777777" w:rsidTr="004B444A">
        <w:trPr>
          <w:jc w:val="center"/>
        </w:trPr>
        <w:tc>
          <w:tcPr>
            <w:tcW w:w="4109" w:type="dxa"/>
            <w:vAlign w:val="center"/>
          </w:tcPr>
          <w:p w14:paraId="6F38B4FA" w14:textId="77777777" w:rsidR="004B444A" w:rsidRPr="0089630F" w:rsidRDefault="004B444A" w:rsidP="000C1DDE">
            <w:pPr>
              <w:pStyle w:val="ListParagraph"/>
              <w:numPr>
                <w:ilvl w:val="0"/>
                <w:numId w:val="35"/>
              </w:numPr>
              <w:spacing w:before="60" w:after="60"/>
              <w:ind w:left="600" w:hanging="357"/>
              <w:contextualSpacing w:val="0"/>
              <w:rPr>
                <w:lang w:val="en-GB"/>
              </w:rPr>
            </w:pPr>
            <w:r w:rsidRPr="0089630F">
              <w:rPr>
                <w:rFonts w:eastAsia="Times New Roman" w:cs="Calibri"/>
                <w:color w:val="000000"/>
                <w:lang w:val="en-GB"/>
              </w:rPr>
              <w:t>Scientific and technological community</w:t>
            </w:r>
            <w:r w:rsidRPr="0089630F">
              <w:rPr>
                <w:lang w:val="en-GB"/>
              </w:rPr>
              <w:t xml:space="preserve"> </w:t>
            </w:r>
          </w:p>
        </w:tc>
        <w:tc>
          <w:tcPr>
            <w:tcW w:w="3971" w:type="dxa"/>
            <w:vAlign w:val="center"/>
          </w:tcPr>
          <w:p w14:paraId="6D83C118" w14:textId="77777777" w:rsidR="004B444A" w:rsidRPr="0089630F" w:rsidRDefault="004B444A" w:rsidP="000C1DDE">
            <w:pPr>
              <w:pStyle w:val="ListParagraph"/>
              <w:numPr>
                <w:ilvl w:val="0"/>
                <w:numId w:val="35"/>
              </w:numPr>
              <w:spacing w:before="60" w:after="60"/>
              <w:ind w:left="453" w:hanging="357"/>
              <w:contextualSpacing w:val="0"/>
              <w:rPr>
                <w:lang w:val="en-GB"/>
              </w:rPr>
            </w:pPr>
            <w:r w:rsidRPr="0089630F">
              <w:rPr>
                <w:lang w:val="en-GB"/>
              </w:rPr>
              <w:t xml:space="preserve">UN System entities, including </w:t>
            </w:r>
            <w:r w:rsidRPr="0089630F">
              <w:rPr>
                <w:rFonts w:cstheme="minorHAnsi"/>
                <w:lang w:val="en-GB"/>
              </w:rPr>
              <w:t>United Nations Resident Coordinators</w:t>
            </w:r>
            <w:r w:rsidRPr="0089630F" w:rsidDel="00040030">
              <w:rPr>
                <w:rFonts w:cstheme="minorHAnsi"/>
                <w:lang w:val="en-GB"/>
              </w:rPr>
              <w:t xml:space="preserve"> </w:t>
            </w:r>
            <w:r w:rsidRPr="0089630F">
              <w:rPr>
                <w:rFonts w:cstheme="minorHAnsi"/>
                <w:lang w:val="en-GB"/>
              </w:rPr>
              <w:t>and UN Country Teams</w:t>
            </w:r>
          </w:p>
        </w:tc>
      </w:tr>
      <w:tr w:rsidR="004B444A" w:rsidRPr="0089630F" w14:paraId="060C0CE4" w14:textId="77777777" w:rsidTr="004B444A">
        <w:trPr>
          <w:jc w:val="center"/>
        </w:trPr>
        <w:tc>
          <w:tcPr>
            <w:tcW w:w="4109" w:type="dxa"/>
            <w:vAlign w:val="center"/>
          </w:tcPr>
          <w:p w14:paraId="2760B45D" w14:textId="77777777" w:rsidR="004B444A" w:rsidRPr="0089630F" w:rsidRDefault="004B444A" w:rsidP="000C1DDE">
            <w:pPr>
              <w:pStyle w:val="ListParagraph"/>
              <w:numPr>
                <w:ilvl w:val="0"/>
                <w:numId w:val="35"/>
              </w:numPr>
              <w:spacing w:before="60" w:after="60"/>
              <w:ind w:left="600" w:hanging="357"/>
              <w:contextualSpacing w:val="0"/>
              <w:rPr>
                <w:lang w:val="en-GB"/>
              </w:rPr>
            </w:pPr>
            <w:r w:rsidRPr="0089630F">
              <w:rPr>
                <w:rFonts w:eastAsia="Times New Roman" w:cs="Calibri"/>
                <w:color w:val="000000"/>
                <w:lang w:val="en-GB"/>
              </w:rPr>
              <w:t>Volunteers</w:t>
            </w:r>
          </w:p>
        </w:tc>
        <w:tc>
          <w:tcPr>
            <w:tcW w:w="3971" w:type="dxa"/>
            <w:vAlign w:val="center"/>
          </w:tcPr>
          <w:p w14:paraId="43F41666" w14:textId="77777777" w:rsidR="004B444A" w:rsidRPr="0089630F" w:rsidRDefault="004B444A" w:rsidP="000C1DDE">
            <w:pPr>
              <w:pStyle w:val="ListParagraph"/>
              <w:numPr>
                <w:ilvl w:val="0"/>
                <w:numId w:val="35"/>
              </w:numPr>
              <w:spacing w:before="60" w:after="60"/>
              <w:ind w:left="453" w:hanging="357"/>
              <w:contextualSpacing w:val="0"/>
              <w:rPr>
                <w:lang w:val="en-GB"/>
              </w:rPr>
            </w:pPr>
            <w:r w:rsidRPr="0089630F">
              <w:rPr>
                <w:rFonts w:eastAsia="Times New Roman" w:cs="Calibri"/>
                <w:color w:val="000000"/>
                <w:lang w:val="en-GB"/>
              </w:rPr>
              <w:t>Women</w:t>
            </w:r>
          </w:p>
        </w:tc>
      </w:tr>
      <w:tr w:rsidR="004B444A" w:rsidRPr="0089630F" w14:paraId="564421EF" w14:textId="77777777" w:rsidTr="004B444A">
        <w:trPr>
          <w:jc w:val="center"/>
        </w:trPr>
        <w:tc>
          <w:tcPr>
            <w:tcW w:w="4109" w:type="dxa"/>
            <w:vAlign w:val="center"/>
          </w:tcPr>
          <w:p w14:paraId="17574565" w14:textId="77777777" w:rsidR="004B444A" w:rsidRPr="0089630F" w:rsidRDefault="004B444A" w:rsidP="000C1DDE">
            <w:pPr>
              <w:pStyle w:val="ListParagraph"/>
              <w:numPr>
                <w:ilvl w:val="0"/>
                <w:numId w:val="35"/>
              </w:numPr>
              <w:spacing w:before="60" w:after="60"/>
              <w:ind w:left="600" w:hanging="357"/>
              <w:contextualSpacing w:val="0"/>
              <w:rPr>
                <w:lang w:val="en-GB"/>
              </w:rPr>
            </w:pPr>
            <w:r w:rsidRPr="0089630F">
              <w:rPr>
                <w:rFonts w:eastAsia="Times New Roman" w:cs="Calibri"/>
                <w:color w:val="000000"/>
                <w:lang w:val="en-GB"/>
              </w:rPr>
              <w:t>Workers and trade unions</w:t>
            </w:r>
            <w:r w:rsidRPr="0089630F" w:rsidDel="003A1611">
              <w:rPr>
                <w:rFonts w:eastAsia="Times New Roman" w:cs="Calibri"/>
                <w:color w:val="000000"/>
                <w:lang w:val="en-GB"/>
              </w:rPr>
              <w:t xml:space="preserve"> </w:t>
            </w:r>
          </w:p>
        </w:tc>
        <w:tc>
          <w:tcPr>
            <w:tcW w:w="3971" w:type="dxa"/>
            <w:vAlign w:val="center"/>
          </w:tcPr>
          <w:p w14:paraId="0A0E00DF" w14:textId="77777777" w:rsidR="004B444A" w:rsidRPr="0089630F" w:rsidRDefault="004B444A" w:rsidP="004B444A">
            <w:pPr>
              <w:spacing w:before="60" w:after="60"/>
              <w:rPr>
                <w:lang w:val="en-GB"/>
              </w:rPr>
            </w:pPr>
          </w:p>
        </w:tc>
      </w:tr>
    </w:tbl>
    <w:p w14:paraId="0ED6AD23" w14:textId="6F68AA19" w:rsidR="004B444A" w:rsidRPr="0089630F" w:rsidRDefault="004B444A" w:rsidP="000C1DDE">
      <w:pPr>
        <w:pStyle w:val="ListParagraph"/>
        <w:numPr>
          <w:ilvl w:val="1"/>
          <w:numId w:val="42"/>
        </w:numPr>
        <w:spacing w:before="240" w:after="120"/>
        <w:ind w:left="709" w:hanging="709"/>
        <w:contextualSpacing w:val="0"/>
        <w:jc w:val="both"/>
        <w:rPr>
          <w:rFonts w:cstheme="minorHAnsi"/>
          <w:lang w:val="en-GB"/>
        </w:rPr>
      </w:pPr>
      <w:r w:rsidRPr="0089630F">
        <w:rPr>
          <w:rFonts w:ascii="Calibri" w:hAnsi="Calibri" w:cs="Calibri"/>
          <w:lang w:val="en-GB"/>
        </w:rPr>
        <w:t>The scope, purpose</w:t>
      </w:r>
      <w:r w:rsidRPr="0089630F">
        <w:rPr>
          <w:rFonts w:ascii="ZWAdobeF" w:hAnsi="ZWAdobeF" w:cs="ZWAdobeF"/>
          <w:sz w:val="2"/>
          <w:szCs w:val="2"/>
          <w:lang w:val="en-GB"/>
        </w:rPr>
        <w:t>15F</w:t>
      </w:r>
      <w:r w:rsidR="000C1DDE">
        <w:rPr>
          <w:rFonts w:ascii="ZWAdobeF" w:hAnsi="ZWAdobeF" w:cs="ZWAdobeF"/>
          <w:sz w:val="2"/>
          <w:szCs w:val="2"/>
          <w:lang w:val="en-GB"/>
        </w:rPr>
        <w:t>28F</w:t>
      </w:r>
      <w:r w:rsidRPr="0089630F">
        <w:rPr>
          <w:rStyle w:val="FootnoteReference"/>
          <w:rFonts w:ascii="Calibri" w:hAnsi="Calibri" w:cs="Calibri"/>
          <w:lang w:val="en-GB"/>
        </w:rPr>
        <w:footnoteReference w:id="29"/>
      </w:r>
      <w:r w:rsidRPr="0089630F">
        <w:rPr>
          <w:rFonts w:ascii="Calibri" w:hAnsi="Calibri" w:cs="Calibri"/>
          <w:lang w:val="en-GB"/>
        </w:rPr>
        <w:t xml:space="preserve"> and other paragraphs of the Sendai Framework make clear that if development generates undue, unwanted and unmanaged risk, it cannot be considered sustainable. The Framework therefore states the imperative for “coherence” in integrate</w:t>
      </w:r>
      <w:r w:rsidRPr="0089630F">
        <w:rPr>
          <w:rFonts w:cstheme="minorHAnsi"/>
          <w:lang w:val="en-GB"/>
        </w:rPr>
        <w:t>d action across agendas and the three dimensions of sustainable development, i.e., environmental, economic and social. Therefore, and to the degree possible, and consistent with the decision of the General Assembly</w:t>
      </w:r>
      <w:r w:rsidRPr="0089630F">
        <w:rPr>
          <w:rFonts w:ascii="ZWAdobeF" w:hAnsi="ZWAdobeF" w:cs="ZWAdobeF"/>
          <w:sz w:val="2"/>
          <w:szCs w:val="2"/>
          <w:lang w:val="en-GB"/>
        </w:rPr>
        <w:t>16F</w:t>
      </w:r>
      <w:r w:rsidR="000C1DDE">
        <w:rPr>
          <w:rFonts w:ascii="ZWAdobeF" w:hAnsi="ZWAdobeF" w:cs="ZWAdobeF"/>
          <w:sz w:val="2"/>
          <w:szCs w:val="2"/>
          <w:lang w:val="en-GB"/>
        </w:rPr>
        <w:t>29F</w:t>
      </w:r>
      <w:r w:rsidRPr="0089630F">
        <w:rPr>
          <w:rStyle w:val="FootnoteReference"/>
          <w:rFonts w:cstheme="minorHAnsi"/>
          <w:lang w:val="en-GB"/>
        </w:rPr>
        <w:footnoteReference w:id="30"/>
      </w:r>
      <w:r w:rsidRPr="0089630F">
        <w:rPr>
          <w:rFonts w:cstheme="minorHAnsi"/>
          <w:lang w:val="en-GB"/>
        </w:rPr>
        <w:t>, the MTR SF will take place in conjunction with other global review and stock taking exercises, with which it seeks to align, from which it seeks to benefit, and to which it seeks to contribute. These may include the reviews of the implementation of the 2030 Agenda for Sustainable Development</w:t>
      </w:r>
      <w:r w:rsidRPr="0089630F">
        <w:rPr>
          <w:rFonts w:ascii="ZWAdobeF" w:hAnsi="ZWAdobeF" w:cs="ZWAdobeF"/>
          <w:sz w:val="2"/>
          <w:szCs w:val="2"/>
          <w:lang w:val="en-GB"/>
        </w:rPr>
        <w:t>17F</w:t>
      </w:r>
      <w:r w:rsidR="000C1DDE">
        <w:rPr>
          <w:rFonts w:ascii="ZWAdobeF" w:hAnsi="ZWAdobeF" w:cs="ZWAdobeF"/>
          <w:sz w:val="2"/>
          <w:szCs w:val="2"/>
          <w:lang w:val="en-GB"/>
        </w:rPr>
        <w:t>30F</w:t>
      </w:r>
      <w:r w:rsidRPr="0089630F">
        <w:rPr>
          <w:rStyle w:val="FootnoteReference"/>
          <w:rFonts w:cstheme="minorHAnsi"/>
          <w:color w:val="222222"/>
          <w:shd w:val="clear" w:color="auto" w:fill="FBFBFB"/>
          <w:lang w:val="en-GB"/>
        </w:rPr>
        <w:footnoteReference w:id="31"/>
      </w:r>
      <w:r w:rsidRPr="0089630F">
        <w:rPr>
          <w:rFonts w:cstheme="minorHAnsi"/>
          <w:color w:val="222222"/>
          <w:shd w:val="clear" w:color="auto" w:fill="FBFBFB"/>
          <w:lang w:val="en-GB"/>
        </w:rPr>
        <w:t xml:space="preserve"> </w:t>
      </w:r>
      <w:r w:rsidRPr="0089630F">
        <w:rPr>
          <w:rFonts w:cstheme="minorHAnsi"/>
          <w:lang w:val="en-GB"/>
        </w:rPr>
        <w:t xml:space="preserve">and the Paris Agreement, the Midterm comprehensive review of the implementation of the International Decade for Action, “Water for Sustainable Development”, 2018–2028, and possibly reviews of progress in implementing the Convention on Biological Diversity and the achievement of the Aichi Biodiversity Targets, the United </w:t>
      </w:r>
      <w:r w:rsidRPr="0089630F">
        <w:rPr>
          <w:rFonts w:cstheme="minorHAnsi"/>
          <w:lang w:val="en-GB"/>
        </w:rPr>
        <w:lastRenderedPageBreak/>
        <w:t>Nations Convention to Combat Desertification, the New Urban Agenda, the Global Compact on Migration, as well as the implementation of the Vienna Programme of Action for Landlocked Developing Countries for the Decade 2014–2024 and the SIDS Accelerated Modalities of Action (SAMOA) Pathway.</w:t>
      </w:r>
    </w:p>
    <w:p w14:paraId="5CBCCCFD" w14:textId="77777777" w:rsidR="004B444A" w:rsidRPr="0089630F" w:rsidRDefault="004B444A" w:rsidP="000C1DDE">
      <w:pPr>
        <w:pStyle w:val="ListParagraph"/>
        <w:numPr>
          <w:ilvl w:val="1"/>
          <w:numId w:val="42"/>
        </w:numPr>
        <w:spacing w:before="240" w:after="120"/>
        <w:ind w:left="709" w:hanging="709"/>
        <w:contextualSpacing w:val="0"/>
        <w:jc w:val="both"/>
        <w:rPr>
          <w:lang w:val="en-GB"/>
        </w:rPr>
      </w:pPr>
      <w:r w:rsidRPr="0089630F">
        <w:rPr>
          <w:lang w:val="en-GB"/>
        </w:rPr>
        <w:t>The MTR SF will be informed by:</w:t>
      </w:r>
    </w:p>
    <w:p w14:paraId="5210E55E" w14:textId="77777777" w:rsidR="004B444A" w:rsidRPr="0089630F" w:rsidRDefault="004B444A" w:rsidP="000C1DDE">
      <w:pPr>
        <w:pStyle w:val="ListParagraph"/>
        <w:numPr>
          <w:ilvl w:val="0"/>
          <w:numId w:val="37"/>
        </w:numPr>
        <w:spacing w:before="120" w:after="60"/>
        <w:ind w:left="1797" w:hanging="357"/>
        <w:contextualSpacing w:val="0"/>
        <w:jc w:val="both"/>
        <w:rPr>
          <w:color w:val="C00000"/>
          <w:lang w:val="en-GB"/>
        </w:rPr>
      </w:pPr>
      <w:r w:rsidRPr="0089630F">
        <w:rPr>
          <w:color w:val="C00000"/>
          <w:lang w:val="en-GB"/>
        </w:rPr>
        <w:t>Outcomes of structured e-Consultations or in-person consultations.</w:t>
      </w:r>
    </w:p>
    <w:p w14:paraId="6D3C30B8" w14:textId="77777777" w:rsidR="004B444A" w:rsidRPr="0089630F" w:rsidRDefault="004B444A" w:rsidP="004B444A">
      <w:pPr>
        <w:spacing w:after="0"/>
        <w:ind w:left="720"/>
        <w:jc w:val="both"/>
        <w:rPr>
          <w:lang w:val="en-GB"/>
        </w:rPr>
      </w:pPr>
      <w:r w:rsidRPr="0089630F">
        <w:rPr>
          <w:lang w:val="en-GB"/>
        </w:rPr>
        <w:t xml:space="preserve">Structured, multi-stakeholder consultations will be held at global, regional, national and where feasible local levels to explore the strategic and guiding questions of the MTR SF. </w:t>
      </w:r>
    </w:p>
    <w:p w14:paraId="3926006D" w14:textId="77777777" w:rsidR="004B444A" w:rsidRPr="0089630F" w:rsidRDefault="004B444A" w:rsidP="004B444A">
      <w:pPr>
        <w:spacing w:after="0"/>
        <w:ind w:left="720"/>
        <w:jc w:val="both"/>
        <w:rPr>
          <w:lang w:val="en-GB"/>
        </w:rPr>
      </w:pPr>
      <w:r w:rsidRPr="0089630F">
        <w:rPr>
          <w:lang w:val="en-GB"/>
        </w:rPr>
        <w:t>Global consultations will take place at the Global Platform 2022 – including in Informal Plenary, and/or at global events of other relevant global stock-taking and review exercises. Regional consultations may take place at Regional Platforms and/or the Global Platform or other related regional events, e.g., Regional Forums on Sustainable Development in February-April 2022 and 2023. The planning and organization of these consultations will be facilitated by UNDRR in collaboration with relevant partners. National and local consultations will be led by Governments, including the broadest possible spectrum of State institutions, as well as non-State actors – potentially facilitated by national and local stakeholders – and can utilise guidelines provided by UNDRR. Thematic or stakeholder-specific consultations may also be held in conjunction with national, regional and global consultations on a topic, or by a stakeholder group of relevance to that country, region or the global agenda. Where public health protocols allow, stakeholders are encouraged to undertake in-person consultations.</w:t>
      </w:r>
    </w:p>
    <w:p w14:paraId="01EB1990" w14:textId="77777777" w:rsidR="004B444A" w:rsidRPr="0089630F" w:rsidRDefault="004B444A" w:rsidP="004B444A">
      <w:pPr>
        <w:tabs>
          <w:tab w:val="left" w:pos="2127"/>
        </w:tabs>
        <w:spacing w:after="0"/>
        <w:ind w:left="2127" w:hanging="1407"/>
        <w:jc w:val="both"/>
        <w:rPr>
          <w:b/>
          <w:bCs/>
          <w:lang w:val="en-GB"/>
        </w:rPr>
      </w:pPr>
      <w:r w:rsidRPr="0089630F">
        <w:rPr>
          <w:b/>
          <w:bCs/>
          <w:lang w:val="en-GB"/>
        </w:rPr>
        <w:t>Action by:</w:t>
      </w:r>
      <w:r w:rsidRPr="0089630F">
        <w:rPr>
          <w:lang w:val="en-GB"/>
        </w:rPr>
        <w:tab/>
      </w:r>
      <w:r w:rsidRPr="0089630F">
        <w:rPr>
          <w:i/>
          <w:iCs/>
          <w:lang w:val="en-GB"/>
        </w:rPr>
        <w:t>National and local authorities, Regional intergovernmental organisations, Regional and National Platforms, UNRC / UNCT, Stakeholders, UNDRR</w:t>
      </w:r>
    </w:p>
    <w:p w14:paraId="33405320" w14:textId="77777777" w:rsidR="004B444A" w:rsidRPr="0089630F" w:rsidRDefault="004B444A" w:rsidP="004B444A">
      <w:pPr>
        <w:tabs>
          <w:tab w:val="left" w:pos="2127"/>
        </w:tabs>
        <w:spacing w:after="120"/>
        <w:ind w:left="2127" w:hanging="1407"/>
        <w:jc w:val="both"/>
        <w:rPr>
          <w:b/>
          <w:bCs/>
          <w:lang w:val="en-GB"/>
        </w:rPr>
      </w:pPr>
      <w:r w:rsidRPr="0089630F">
        <w:rPr>
          <w:b/>
          <w:bCs/>
          <w:lang w:val="en-GB"/>
        </w:rPr>
        <w:t>When:</w:t>
      </w:r>
      <w:r w:rsidRPr="0089630F">
        <w:rPr>
          <w:lang w:val="en-GB"/>
        </w:rPr>
        <w:tab/>
      </w:r>
      <w:r w:rsidRPr="0089630F">
        <w:rPr>
          <w:i/>
          <w:iCs/>
          <w:lang w:val="en-GB"/>
        </w:rPr>
        <w:t>October 2021 through to September 2022</w:t>
      </w:r>
    </w:p>
    <w:p w14:paraId="45C1B3BD" w14:textId="77777777" w:rsidR="004B444A" w:rsidRPr="0089630F" w:rsidRDefault="004B444A" w:rsidP="000C1DDE">
      <w:pPr>
        <w:pStyle w:val="ListParagraph"/>
        <w:numPr>
          <w:ilvl w:val="0"/>
          <w:numId w:val="37"/>
        </w:numPr>
        <w:spacing w:before="240" w:after="60"/>
        <w:ind w:left="1797" w:hanging="357"/>
        <w:contextualSpacing w:val="0"/>
        <w:jc w:val="both"/>
        <w:rPr>
          <w:color w:val="C00000"/>
          <w:lang w:val="en-GB"/>
        </w:rPr>
      </w:pPr>
      <w:r w:rsidRPr="0089630F">
        <w:rPr>
          <w:color w:val="C00000"/>
          <w:lang w:val="en-GB"/>
        </w:rPr>
        <w:t>Thematic, commissioned studies.</w:t>
      </w:r>
    </w:p>
    <w:p w14:paraId="33194495" w14:textId="77777777" w:rsidR="004B444A" w:rsidRPr="0089630F" w:rsidRDefault="004B444A" w:rsidP="004B444A">
      <w:pPr>
        <w:spacing w:after="0"/>
        <w:ind w:left="720"/>
        <w:jc w:val="both"/>
        <w:rPr>
          <w:lang w:val="en-GB"/>
        </w:rPr>
      </w:pPr>
      <w:r w:rsidRPr="0089630F">
        <w:rPr>
          <w:lang w:val="en-GB"/>
        </w:rPr>
        <w:t xml:space="preserve">A limited number of commissioned thematic studies will be identified by UNDRR. Member States, United Nations entities and/or other stakeholders will be invited to lead or contribute to these studies, </w:t>
      </w:r>
      <w:proofErr w:type="gramStart"/>
      <w:r w:rsidRPr="0089630F">
        <w:rPr>
          <w:lang w:val="en-GB"/>
        </w:rPr>
        <w:t>so as to</w:t>
      </w:r>
      <w:proofErr w:type="gramEnd"/>
      <w:r w:rsidRPr="0089630F">
        <w:rPr>
          <w:lang w:val="en-GB"/>
        </w:rPr>
        <w:t xml:space="preserve"> generate greater insights on specific issues of central importance to the implementation of the Sendai Framework in the UN Decade of Action, and risk-informed sustainable development post-2030. A list of topics for these studies will be made available in November 2021.</w:t>
      </w:r>
    </w:p>
    <w:p w14:paraId="6B68E9AF" w14:textId="77777777" w:rsidR="004B444A" w:rsidRPr="0089630F" w:rsidRDefault="004B444A" w:rsidP="004B444A">
      <w:pPr>
        <w:tabs>
          <w:tab w:val="left" w:pos="2127"/>
        </w:tabs>
        <w:spacing w:after="0"/>
        <w:ind w:left="2127" w:hanging="1407"/>
        <w:jc w:val="both"/>
        <w:rPr>
          <w:b/>
          <w:bCs/>
          <w:lang w:val="en-GB"/>
        </w:rPr>
      </w:pPr>
      <w:r w:rsidRPr="0089630F">
        <w:rPr>
          <w:b/>
          <w:bCs/>
          <w:lang w:val="en-GB"/>
        </w:rPr>
        <w:t>Action by:</w:t>
      </w:r>
      <w:r w:rsidRPr="0089630F">
        <w:rPr>
          <w:lang w:val="en-GB"/>
        </w:rPr>
        <w:tab/>
      </w:r>
      <w:r w:rsidRPr="0089630F">
        <w:rPr>
          <w:i/>
          <w:iCs/>
          <w:lang w:val="en-GB"/>
        </w:rPr>
        <w:t>UNDRR, Stakeholders, independent experts</w:t>
      </w:r>
    </w:p>
    <w:p w14:paraId="32D9CB72" w14:textId="77777777" w:rsidR="004B444A" w:rsidRPr="0089630F" w:rsidRDefault="004B444A" w:rsidP="004B444A">
      <w:pPr>
        <w:tabs>
          <w:tab w:val="left" w:pos="2127"/>
        </w:tabs>
        <w:spacing w:after="120"/>
        <w:ind w:left="2127" w:hanging="1407"/>
        <w:jc w:val="both"/>
        <w:rPr>
          <w:b/>
          <w:bCs/>
          <w:lang w:val="en-GB"/>
        </w:rPr>
      </w:pPr>
      <w:r w:rsidRPr="0089630F">
        <w:rPr>
          <w:b/>
          <w:bCs/>
          <w:lang w:val="en-GB"/>
        </w:rPr>
        <w:t>When:</w:t>
      </w:r>
      <w:r w:rsidRPr="0089630F">
        <w:rPr>
          <w:lang w:val="en-GB"/>
        </w:rPr>
        <w:tab/>
      </w:r>
      <w:r w:rsidRPr="0089630F">
        <w:rPr>
          <w:i/>
          <w:iCs/>
          <w:lang w:val="en-GB"/>
        </w:rPr>
        <w:t>November 2021 through to August 2022</w:t>
      </w:r>
    </w:p>
    <w:p w14:paraId="685EAB67" w14:textId="77777777" w:rsidR="004B444A" w:rsidRPr="0089630F" w:rsidRDefault="004B444A" w:rsidP="000C1DDE">
      <w:pPr>
        <w:pStyle w:val="ListParagraph"/>
        <w:numPr>
          <w:ilvl w:val="0"/>
          <w:numId w:val="37"/>
        </w:numPr>
        <w:spacing w:before="240" w:after="120"/>
        <w:contextualSpacing w:val="0"/>
        <w:jc w:val="both"/>
        <w:rPr>
          <w:color w:val="C00000"/>
          <w:lang w:val="en-GB"/>
        </w:rPr>
      </w:pPr>
      <w:r w:rsidRPr="0089630F">
        <w:rPr>
          <w:color w:val="C00000"/>
          <w:lang w:val="en-GB"/>
        </w:rPr>
        <w:t>Sendai Framework Monitor</w:t>
      </w:r>
    </w:p>
    <w:p w14:paraId="12E28A34" w14:textId="77777777" w:rsidR="004B444A" w:rsidRPr="0089630F" w:rsidRDefault="004B444A" w:rsidP="004B444A">
      <w:pPr>
        <w:tabs>
          <w:tab w:val="right" w:pos="9015"/>
        </w:tabs>
        <w:spacing w:after="0"/>
        <w:ind w:left="720"/>
        <w:jc w:val="both"/>
        <w:rPr>
          <w:lang w:val="en-GB"/>
        </w:rPr>
      </w:pPr>
      <w:r w:rsidRPr="0089630F">
        <w:rPr>
          <w:lang w:val="en-GB"/>
        </w:rPr>
        <w:t>Used by 153 countries, the Sendai Framework Monitoring System will provide a significant body of information on progress made in realising the seven global targets of the Sendai Framework, as well as the DRR-related targets of SDGs 1, 11 and 13 and other related SDG targets. Data is provided by national, as well as local and regional, authorities on an annual basis, and all inputs provided by Member States up to and including September 2022 will be included in the analysis for the MTR SF Main and Synthesis Reports. Additional granularity in the review may be possible where countries have established nationally determined targets and indicators, the reporting against which will be included in the analysis of the MTR SF.</w:t>
      </w:r>
    </w:p>
    <w:p w14:paraId="17DCA311" w14:textId="77777777" w:rsidR="004B444A" w:rsidRPr="0089630F" w:rsidRDefault="004B444A" w:rsidP="004B444A">
      <w:pPr>
        <w:tabs>
          <w:tab w:val="left" w:pos="2127"/>
        </w:tabs>
        <w:spacing w:after="0"/>
        <w:ind w:left="2127" w:hanging="1407"/>
        <w:jc w:val="both"/>
        <w:rPr>
          <w:b/>
          <w:bCs/>
          <w:lang w:val="en-GB"/>
        </w:rPr>
      </w:pPr>
      <w:r w:rsidRPr="0089630F">
        <w:rPr>
          <w:b/>
          <w:bCs/>
          <w:lang w:val="en-GB"/>
        </w:rPr>
        <w:t>Action by:</w:t>
      </w:r>
      <w:r w:rsidRPr="0089630F">
        <w:rPr>
          <w:lang w:val="en-GB"/>
        </w:rPr>
        <w:tab/>
      </w:r>
      <w:r w:rsidRPr="0089630F">
        <w:rPr>
          <w:i/>
          <w:iCs/>
          <w:lang w:val="en-GB"/>
        </w:rPr>
        <w:t>National and local authorities, Regional intergovernmental organisations, Stakeholders, UNDRR.</w:t>
      </w:r>
    </w:p>
    <w:p w14:paraId="78A3049C" w14:textId="77777777" w:rsidR="004B444A" w:rsidRPr="0089630F" w:rsidRDefault="004B444A" w:rsidP="004B444A">
      <w:pPr>
        <w:tabs>
          <w:tab w:val="left" w:pos="2127"/>
        </w:tabs>
        <w:spacing w:after="120"/>
        <w:ind w:left="2127" w:hanging="1407"/>
        <w:jc w:val="both"/>
        <w:rPr>
          <w:i/>
          <w:iCs/>
          <w:lang w:val="en-GB"/>
        </w:rPr>
      </w:pPr>
      <w:r w:rsidRPr="0089630F">
        <w:rPr>
          <w:b/>
          <w:bCs/>
          <w:lang w:val="en-GB"/>
        </w:rPr>
        <w:t>When:</w:t>
      </w:r>
      <w:r w:rsidRPr="0089630F">
        <w:rPr>
          <w:lang w:val="en-GB"/>
        </w:rPr>
        <w:tab/>
      </w:r>
      <w:r w:rsidRPr="0089630F">
        <w:rPr>
          <w:i/>
          <w:iCs/>
          <w:lang w:val="en-GB"/>
        </w:rPr>
        <w:t>Ongoing through to September 2022</w:t>
      </w:r>
    </w:p>
    <w:p w14:paraId="727CC0BD" w14:textId="77777777" w:rsidR="004B444A" w:rsidRPr="0089630F" w:rsidRDefault="004B444A" w:rsidP="000C1DDE">
      <w:pPr>
        <w:pStyle w:val="ListParagraph"/>
        <w:numPr>
          <w:ilvl w:val="0"/>
          <w:numId w:val="37"/>
        </w:numPr>
        <w:spacing w:before="240" w:after="120"/>
        <w:contextualSpacing w:val="0"/>
        <w:jc w:val="both"/>
        <w:rPr>
          <w:color w:val="C00000"/>
          <w:lang w:val="en-GB"/>
        </w:rPr>
      </w:pPr>
      <w:r w:rsidRPr="0089630F">
        <w:rPr>
          <w:color w:val="C00000"/>
          <w:lang w:val="en-GB"/>
        </w:rPr>
        <w:lastRenderedPageBreak/>
        <w:t>Review of Voluntary Commitments.</w:t>
      </w:r>
    </w:p>
    <w:p w14:paraId="36FB14BD" w14:textId="77777777" w:rsidR="004B444A" w:rsidRPr="0089630F" w:rsidRDefault="004B444A" w:rsidP="004B444A">
      <w:pPr>
        <w:tabs>
          <w:tab w:val="right" w:pos="9015"/>
        </w:tabs>
        <w:spacing w:after="0"/>
        <w:ind w:left="720"/>
        <w:jc w:val="both"/>
        <w:rPr>
          <w:lang w:val="en-GB"/>
        </w:rPr>
      </w:pPr>
      <w:r w:rsidRPr="0089630F">
        <w:rPr>
          <w:lang w:val="en-GB"/>
        </w:rPr>
        <w:t>An updated review of the status of stakeholder activities in support of implementation of the Framework – as enshrined in the Sendai Framework Voluntary Commitments – will be conducted.</w:t>
      </w:r>
    </w:p>
    <w:p w14:paraId="595756B9" w14:textId="77777777" w:rsidR="004B444A" w:rsidRPr="0089630F" w:rsidRDefault="004B444A" w:rsidP="004B444A">
      <w:pPr>
        <w:tabs>
          <w:tab w:val="left" w:pos="2127"/>
        </w:tabs>
        <w:spacing w:after="0"/>
        <w:ind w:left="2127" w:hanging="1407"/>
        <w:jc w:val="both"/>
        <w:rPr>
          <w:b/>
          <w:bCs/>
          <w:lang w:val="en-GB"/>
        </w:rPr>
      </w:pPr>
      <w:r w:rsidRPr="0089630F">
        <w:rPr>
          <w:b/>
          <w:bCs/>
          <w:lang w:val="en-GB"/>
        </w:rPr>
        <w:t>Action by:</w:t>
      </w:r>
      <w:r w:rsidRPr="0089630F">
        <w:rPr>
          <w:lang w:val="en-GB"/>
        </w:rPr>
        <w:tab/>
      </w:r>
      <w:r w:rsidRPr="0089630F">
        <w:rPr>
          <w:i/>
          <w:iCs/>
          <w:lang w:val="en-GB"/>
        </w:rPr>
        <w:t>Stakeholders, UNDRR.</w:t>
      </w:r>
    </w:p>
    <w:p w14:paraId="06A6DCAA" w14:textId="77777777" w:rsidR="004B444A" w:rsidRPr="0089630F" w:rsidRDefault="004B444A" w:rsidP="004B444A">
      <w:pPr>
        <w:tabs>
          <w:tab w:val="left" w:pos="2127"/>
        </w:tabs>
        <w:spacing w:after="120"/>
        <w:ind w:left="2127" w:hanging="1407"/>
        <w:jc w:val="both"/>
        <w:rPr>
          <w:color w:val="C00000"/>
          <w:lang w:val="en-GB"/>
        </w:rPr>
      </w:pPr>
      <w:r w:rsidRPr="0089630F">
        <w:rPr>
          <w:b/>
          <w:bCs/>
          <w:lang w:val="en-GB"/>
        </w:rPr>
        <w:t>When:</w:t>
      </w:r>
      <w:r w:rsidRPr="0089630F">
        <w:rPr>
          <w:lang w:val="en-GB"/>
        </w:rPr>
        <w:tab/>
      </w:r>
      <w:r w:rsidRPr="0089630F">
        <w:rPr>
          <w:i/>
          <w:iCs/>
          <w:lang w:val="en-GB"/>
        </w:rPr>
        <w:t>Ongoing through to September 2022.</w:t>
      </w:r>
    </w:p>
    <w:p w14:paraId="4A6C16FC" w14:textId="77777777" w:rsidR="004B444A" w:rsidRPr="0089630F" w:rsidRDefault="004B444A" w:rsidP="000C1DDE">
      <w:pPr>
        <w:pStyle w:val="ListParagraph"/>
        <w:numPr>
          <w:ilvl w:val="0"/>
          <w:numId w:val="37"/>
        </w:numPr>
        <w:spacing w:before="240" w:after="120"/>
        <w:contextualSpacing w:val="0"/>
        <w:jc w:val="both"/>
        <w:rPr>
          <w:color w:val="C00000"/>
          <w:lang w:val="en-GB"/>
        </w:rPr>
      </w:pPr>
      <w:r w:rsidRPr="0089630F">
        <w:rPr>
          <w:color w:val="C00000"/>
          <w:lang w:val="en-GB"/>
        </w:rPr>
        <w:t>Literature review of existing reports and studies.</w:t>
      </w:r>
    </w:p>
    <w:p w14:paraId="2FBAA85A" w14:textId="1D5265A3" w:rsidR="004B444A" w:rsidRPr="0089630F" w:rsidRDefault="004B444A" w:rsidP="004B444A">
      <w:pPr>
        <w:spacing w:after="0"/>
        <w:ind w:left="720"/>
        <w:jc w:val="both"/>
        <w:rPr>
          <w:lang w:val="en-GB"/>
        </w:rPr>
      </w:pPr>
      <w:r w:rsidRPr="0089630F">
        <w:rPr>
          <w:lang w:val="en-GB"/>
        </w:rPr>
        <w:t xml:space="preserve">UNDRR will undertake a comprehensive literature review of existing reports and studies, the outcome of which will be a stand-alone study that will serve as a 2015 baseline for comparison of progress to date in implementing the Sendai </w:t>
      </w:r>
      <w:proofErr w:type="gramStart"/>
      <w:r w:rsidRPr="0089630F">
        <w:rPr>
          <w:lang w:val="en-GB"/>
        </w:rPr>
        <w:t>Framework, and</w:t>
      </w:r>
      <w:proofErr w:type="gramEnd"/>
      <w:r w:rsidRPr="0089630F">
        <w:rPr>
          <w:lang w:val="en-GB"/>
        </w:rPr>
        <w:t xml:space="preserve"> may generate useful information on global trends and issues emerging since adoption of the Framework. Literature and materials that may be consulted in conducting the literature review include (non-exhaustive): reports of the Sendai Framework Monitoring System; GARs 2015, 2019 and 2022, as well as GAR Special Reports; Regional Assessment Reports (RARs); DRR stakeholder reports</w:t>
      </w:r>
      <w:r w:rsidRPr="0089630F">
        <w:rPr>
          <w:rFonts w:ascii="ZWAdobeF" w:hAnsi="ZWAdobeF" w:cs="ZWAdobeF"/>
          <w:sz w:val="2"/>
          <w:szCs w:val="2"/>
          <w:lang w:val="en-GB"/>
        </w:rPr>
        <w:t>18F</w:t>
      </w:r>
      <w:r w:rsidR="000C1DDE">
        <w:rPr>
          <w:rFonts w:ascii="ZWAdobeF" w:hAnsi="ZWAdobeF" w:cs="ZWAdobeF"/>
          <w:sz w:val="2"/>
          <w:szCs w:val="2"/>
          <w:lang w:val="en-GB"/>
        </w:rPr>
        <w:t>31F</w:t>
      </w:r>
      <w:r w:rsidRPr="0089630F">
        <w:rPr>
          <w:rStyle w:val="FootnoteReference"/>
          <w:lang w:val="en-GB"/>
        </w:rPr>
        <w:footnoteReference w:id="32"/>
      </w:r>
      <w:r w:rsidRPr="0089630F">
        <w:rPr>
          <w:lang w:val="en-GB"/>
        </w:rPr>
        <w:t xml:space="preserve">, the Sendai Framework Voluntary Commitments Synthesis and Analysis Report 2019, the report of the Making Cities Resilient (MCR) Campaign: Comparing MCR and non-MCR cities, Views from the Frontline; Global Sustainable Development Reports and Voluntary National Reviews; relevant reports of constituted bodies of the UN </w:t>
      </w:r>
      <w:r w:rsidRPr="0089630F">
        <w:rPr>
          <w:rFonts w:cstheme="minorHAnsi"/>
          <w:lang w:val="en-GB"/>
        </w:rPr>
        <w:t xml:space="preserve">Convention on Biological Diversity, </w:t>
      </w:r>
      <w:r w:rsidRPr="0089630F">
        <w:rPr>
          <w:lang w:val="en-GB"/>
        </w:rPr>
        <w:t>UN Convention to Combat Desertification and the UN Framework Convention on Climate Change; IPCC Assessment and Special Reports. The literature review will examine reports published and studies conducted at the national and local levels that allow national and subnational insights on progress and areas for greater effort in pursuing the outcome and goal of the Sendai Framework and risk-informed sustainable development.</w:t>
      </w:r>
    </w:p>
    <w:p w14:paraId="26D94044" w14:textId="77777777" w:rsidR="004B444A" w:rsidRPr="0089630F" w:rsidRDefault="004B444A" w:rsidP="004B444A">
      <w:pPr>
        <w:tabs>
          <w:tab w:val="left" w:pos="2127"/>
        </w:tabs>
        <w:spacing w:after="0"/>
        <w:ind w:left="2127" w:hanging="1407"/>
        <w:jc w:val="both"/>
        <w:rPr>
          <w:b/>
          <w:bCs/>
          <w:lang w:val="en-GB"/>
        </w:rPr>
      </w:pPr>
      <w:r w:rsidRPr="0089630F">
        <w:rPr>
          <w:b/>
          <w:bCs/>
          <w:lang w:val="en-GB"/>
        </w:rPr>
        <w:t>Action by:</w:t>
      </w:r>
      <w:r w:rsidRPr="0089630F">
        <w:rPr>
          <w:lang w:val="en-GB"/>
        </w:rPr>
        <w:tab/>
      </w:r>
      <w:r w:rsidRPr="0089630F">
        <w:rPr>
          <w:i/>
          <w:iCs/>
          <w:lang w:val="en-GB"/>
        </w:rPr>
        <w:t>UNDRR, independent consultant(s)</w:t>
      </w:r>
    </w:p>
    <w:p w14:paraId="778333B0" w14:textId="77777777" w:rsidR="004B444A" w:rsidRPr="0089630F" w:rsidRDefault="004B444A" w:rsidP="004B444A">
      <w:pPr>
        <w:tabs>
          <w:tab w:val="left" w:pos="2127"/>
        </w:tabs>
        <w:spacing w:after="120"/>
        <w:ind w:left="2127" w:hanging="1407"/>
        <w:jc w:val="both"/>
        <w:rPr>
          <w:b/>
          <w:bCs/>
          <w:lang w:val="en-GB"/>
        </w:rPr>
      </w:pPr>
      <w:r w:rsidRPr="0089630F">
        <w:rPr>
          <w:b/>
          <w:bCs/>
          <w:lang w:val="en-GB"/>
        </w:rPr>
        <w:t>When:</w:t>
      </w:r>
      <w:r w:rsidRPr="0089630F">
        <w:rPr>
          <w:lang w:val="en-GB"/>
        </w:rPr>
        <w:tab/>
      </w:r>
      <w:r w:rsidRPr="0089630F">
        <w:rPr>
          <w:i/>
          <w:iCs/>
          <w:lang w:val="en-GB"/>
        </w:rPr>
        <w:t>Study to be commissioned by</w:t>
      </w:r>
      <w:r w:rsidRPr="0089630F">
        <w:rPr>
          <w:lang w:val="en-GB"/>
        </w:rPr>
        <w:t xml:space="preserve"> </w:t>
      </w:r>
      <w:r w:rsidRPr="0089630F">
        <w:rPr>
          <w:i/>
          <w:iCs/>
          <w:lang w:val="en-GB"/>
        </w:rPr>
        <w:t>November 2021 through to April 2022 for the GP2022. Review of local and thematic studies ongoing through to August 2022.</w:t>
      </w:r>
    </w:p>
    <w:p w14:paraId="7F62CF9C" w14:textId="77777777" w:rsidR="004B444A" w:rsidRPr="0089630F" w:rsidRDefault="004B444A" w:rsidP="000C1DDE">
      <w:pPr>
        <w:pStyle w:val="ListParagraph"/>
        <w:numPr>
          <w:ilvl w:val="0"/>
          <w:numId w:val="37"/>
        </w:numPr>
        <w:spacing w:before="240" w:after="120"/>
        <w:contextualSpacing w:val="0"/>
        <w:jc w:val="both"/>
        <w:rPr>
          <w:color w:val="C00000"/>
          <w:lang w:val="en-GB"/>
        </w:rPr>
      </w:pPr>
      <w:r w:rsidRPr="0089630F">
        <w:rPr>
          <w:color w:val="C00000"/>
          <w:lang w:val="en-GB"/>
        </w:rPr>
        <w:t xml:space="preserve">One-on-one interviews. </w:t>
      </w:r>
    </w:p>
    <w:p w14:paraId="0CC38A70" w14:textId="77777777" w:rsidR="004B444A" w:rsidRPr="0089630F" w:rsidRDefault="004B444A" w:rsidP="004B444A">
      <w:pPr>
        <w:spacing w:after="0"/>
        <w:ind w:left="720"/>
        <w:jc w:val="both"/>
        <w:rPr>
          <w:lang w:val="en-GB"/>
        </w:rPr>
      </w:pPr>
      <w:r w:rsidRPr="0089630F">
        <w:rPr>
          <w:lang w:val="en-GB"/>
        </w:rPr>
        <w:t>In consultation with Member States and other stakeholders, UNDRR will identify a limited number of individuals from within and beyond the disaster risk reduction community with whom one-on-one interviews will be conducted to obtain specific insights on progress, challenges and lessons identified to date, as well as issues, opportunities and threats to be considered in the achievement of the outcome and goal of the Sendai Framework, and risk-informed sustainable development to 2030 and beyond. Interviews will be conducted by UNDRR.</w:t>
      </w:r>
    </w:p>
    <w:p w14:paraId="44A29A6B" w14:textId="77777777" w:rsidR="004B444A" w:rsidRPr="0089630F" w:rsidRDefault="004B444A" w:rsidP="004B444A">
      <w:pPr>
        <w:tabs>
          <w:tab w:val="left" w:pos="2127"/>
        </w:tabs>
        <w:spacing w:after="0"/>
        <w:ind w:left="2127" w:hanging="1407"/>
        <w:jc w:val="both"/>
        <w:rPr>
          <w:b/>
          <w:bCs/>
          <w:lang w:val="en-GB"/>
        </w:rPr>
      </w:pPr>
      <w:r w:rsidRPr="0089630F">
        <w:rPr>
          <w:b/>
          <w:bCs/>
          <w:lang w:val="en-GB"/>
        </w:rPr>
        <w:t>Action by:</w:t>
      </w:r>
      <w:r w:rsidRPr="0089630F">
        <w:rPr>
          <w:lang w:val="en-GB"/>
        </w:rPr>
        <w:tab/>
      </w:r>
      <w:r w:rsidRPr="0089630F">
        <w:rPr>
          <w:i/>
          <w:iCs/>
          <w:lang w:val="en-GB"/>
        </w:rPr>
        <w:t>UNDRR.</w:t>
      </w:r>
    </w:p>
    <w:p w14:paraId="2D0AC966" w14:textId="77777777" w:rsidR="004B444A" w:rsidRPr="0089630F" w:rsidRDefault="004B444A" w:rsidP="004B444A">
      <w:pPr>
        <w:tabs>
          <w:tab w:val="left" w:pos="2127"/>
        </w:tabs>
        <w:spacing w:after="120"/>
        <w:ind w:left="2127" w:hanging="1407"/>
        <w:jc w:val="both"/>
        <w:rPr>
          <w:b/>
          <w:bCs/>
          <w:lang w:val="en-GB"/>
        </w:rPr>
      </w:pPr>
      <w:r w:rsidRPr="0089630F">
        <w:rPr>
          <w:b/>
          <w:bCs/>
          <w:lang w:val="en-GB"/>
        </w:rPr>
        <w:t>When:</w:t>
      </w:r>
      <w:r w:rsidRPr="0089630F">
        <w:rPr>
          <w:lang w:val="en-GB"/>
        </w:rPr>
        <w:tab/>
      </w:r>
      <w:r w:rsidRPr="0089630F">
        <w:rPr>
          <w:i/>
          <w:iCs/>
          <w:lang w:val="en-GB"/>
        </w:rPr>
        <w:t>Interviewees to be identified by December 2021, and interviews to conclude by July 2022.</w:t>
      </w:r>
    </w:p>
    <w:p w14:paraId="11DD0F52" w14:textId="77777777" w:rsidR="004B444A" w:rsidRPr="0089630F" w:rsidRDefault="004B444A" w:rsidP="000C1DDE">
      <w:pPr>
        <w:pStyle w:val="ListParagraph"/>
        <w:numPr>
          <w:ilvl w:val="0"/>
          <w:numId w:val="37"/>
        </w:numPr>
        <w:spacing w:before="240" w:after="120"/>
        <w:contextualSpacing w:val="0"/>
        <w:jc w:val="both"/>
        <w:rPr>
          <w:color w:val="C00000"/>
          <w:lang w:val="en-GB"/>
        </w:rPr>
      </w:pPr>
      <w:r w:rsidRPr="0089630F">
        <w:rPr>
          <w:color w:val="C00000"/>
          <w:lang w:val="en-GB"/>
        </w:rPr>
        <w:t>Online dialogues / debates.</w:t>
      </w:r>
    </w:p>
    <w:p w14:paraId="68A17848" w14:textId="77777777" w:rsidR="004B444A" w:rsidRPr="0089630F" w:rsidRDefault="004B444A" w:rsidP="004B444A">
      <w:pPr>
        <w:spacing w:after="0"/>
        <w:ind w:left="720"/>
        <w:jc w:val="both"/>
        <w:rPr>
          <w:lang w:val="en-GB"/>
        </w:rPr>
      </w:pPr>
      <w:r w:rsidRPr="0089630F">
        <w:rPr>
          <w:lang w:val="en-GB"/>
        </w:rPr>
        <w:t xml:space="preserve">A limited number of online dialogues or debates will be organized by UNDRR utilising the strategic and guiding questions that inform the MTR SF. Moderated by a prominent individual or individuals of renown and repute across multiple agendas and/or social, ecological and economic systems, the </w:t>
      </w:r>
      <w:r w:rsidRPr="0089630F">
        <w:rPr>
          <w:lang w:val="en-GB"/>
        </w:rPr>
        <w:lastRenderedPageBreak/>
        <w:t>dialogues / debates seek to expand the risk conversation and pursue aspects of how to better understand and manage risk and uncertainty in complex adaptive systems.</w:t>
      </w:r>
    </w:p>
    <w:p w14:paraId="1590448A" w14:textId="77777777" w:rsidR="004B444A" w:rsidRPr="0089630F" w:rsidRDefault="004B444A" w:rsidP="004B444A">
      <w:pPr>
        <w:tabs>
          <w:tab w:val="left" w:pos="2127"/>
        </w:tabs>
        <w:spacing w:after="0"/>
        <w:ind w:left="2127" w:hanging="1407"/>
        <w:jc w:val="both"/>
        <w:rPr>
          <w:b/>
          <w:bCs/>
          <w:lang w:val="en-GB"/>
        </w:rPr>
      </w:pPr>
      <w:r w:rsidRPr="0089630F">
        <w:rPr>
          <w:b/>
          <w:bCs/>
          <w:lang w:val="en-GB"/>
        </w:rPr>
        <w:t>Action by:</w:t>
      </w:r>
      <w:r w:rsidRPr="0089630F">
        <w:rPr>
          <w:lang w:val="en-GB"/>
        </w:rPr>
        <w:tab/>
      </w:r>
      <w:r w:rsidRPr="0089630F">
        <w:rPr>
          <w:i/>
          <w:iCs/>
          <w:lang w:val="en-GB"/>
        </w:rPr>
        <w:t>UNDRR and renowned Moderator(s) to be identified.</w:t>
      </w:r>
    </w:p>
    <w:p w14:paraId="5AA22890" w14:textId="77777777" w:rsidR="004B444A" w:rsidRPr="0089630F" w:rsidRDefault="004B444A" w:rsidP="004B444A">
      <w:pPr>
        <w:tabs>
          <w:tab w:val="left" w:pos="2127"/>
        </w:tabs>
        <w:spacing w:after="120"/>
        <w:ind w:left="2127" w:hanging="1407"/>
        <w:jc w:val="both"/>
        <w:rPr>
          <w:color w:val="C00000"/>
          <w:lang w:val="en-GB"/>
        </w:rPr>
      </w:pPr>
      <w:r w:rsidRPr="0089630F">
        <w:rPr>
          <w:b/>
          <w:bCs/>
          <w:lang w:val="en-GB"/>
        </w:rPr>
        <w:t>When:</w:t>
      </w:r>
      <w:r w:rsidRPr="0089630F">
        <w:rPr>
          <w:lang w:val="en-GB"/>
        </w:rPr>
        <w:tab/>
      </w:r>
      <w:r w:rsidRPr="0089630F">
        <w:rPr>
          <w:i/>
          <w:iCs/>
          <w:lang w:val="en-GB"/>
        </w:rPr>
        <w:t>February 2022 (potentially including the GP2022) through to July 2022.</w:t>
      </w:r>
    </w:p>
    <w:p w14:paraId="19FB12A0" w14:textId="77777777" w:rsidR="004B444A" w:rsidRPr="0089630F" w:rsidRDefault="004B444A" w:rsidP="000C1DDE">
      <w:pPr>
        <w:pStyle w:val="ListParagraph"/>
        <w:numPr>
          <w:ilvl w:val="1"/>
          <w:numId w:val="42"/>
        </w:numPr>
        <w:spacing w:before="240" w:after="240"/>
        <w:ind w:left="709" w:hanging="709"/>
        <w:contextualSpacing w:val="0"/>
        <w:jc w:val="both"/>
        <w:rPr>
          <w:lang w:val="en-GB"/>
        </w:rPr>
      </w:pPr>
      <w:r w:rsidRPr="0089630F">
        <w:rPr>
          <w:lang w:val="en-GB"/>
        </w:rPr>
        <w:t>Additional possible sources of material for the MTR SF, and MTR SF Reports, may include:</w:t>
      </w:r>
    </w:p>
    <w:p w14:paraId="500656B2" w14:textId="77777777" w:rsidR="004B444A" w:rsidRPr="0089630F" w:rsidRDefault="004B444A" w:rsidP="004B444A">
      <w:pPr>
        <w:ind w:left="709"/>
        <w:jc w:val="both"/>
        <w:rPr>
          <w:rFonts w:cs="Calibri"/>
          <w:i/>
          <w:iCs/>
          <w:lang w:val="en-GB"/>
        </w:rPr>
      </w:pPr>
      <w:r w:rsidRPr="0089630F">
        <w:rPr>
          <w:rFonts w:cs="Calibri"/>
          <w:i/>
          <w:iCs/>
          <w:lang w:val="en-GB"/>
        </w:rPr>
        <w:t>Sendai Framework-specific</w:t>
      </w:r>
    </w:p>
    <w:p w14:paraId="1E38CAF3" w14:textId="77777777" w:rsidR="004B444A" w:rsidRPr="0089630F" w:rsidRDefault="004B444A" w:rsidP="000C1DDE">
      <w:pPr>
        <w:pStyle w:val="ListParagraph"/>
        <w:numPr>
          <w:ilvl w:val="0"/>
          <w:numId w:val="34"/>
        </w:numPr>
        <w:ind w:left="1418"/>
        <w:jc w:val="both"/>
        <w:rPr>
          <w:rFonts w:cs="Calibri"/>
          <w:lang w:val="en-GB"/>
        </w:rPr>
      </w:pPr>
      <w:r w:rsidRPr="0089630F">
        <w:rPr>
          <w:rFonts w:cs="Calibri"/>
          <w:lang w:val="en-GB"/>
        </w:rPr>
        <w:t>National MTR SF voluntary reports</w:t>
      </w:r>
    </w:p>
    <w:p w14:paraId="03CE8F6B" w14:textId="77777777" w:rsidR="004B444A" w:rsidRPr="0089630F" w:rsidRDefault="004B444A" w:rsidP="000C1DDE">
      <w:pPr>
        <w:pStyle w:val="ListParagraph"/>
        <w:numPr>
          <w:ilvl w:val="0"/>
          <w:numId w:val="34"/>
        </w:numPr>
        <w:ind w:left="1418"/>
        <w:jc w:val="both"/>
        <w:rPr>
          <w:rFonts w:cs="Calibri"/>
          <w:lang w:val="en-GB"/>
        </w:rPr>
      </w:pPr>
      <w:r w:rsidRPr="0089630F">
        <w:rPr>
          <w:rFonts w:cs="Calibri"/>
          <w:lang w:val="en-GB"/>
        </w:rPr>
        <w:t xml:space="preserve">Regional MTR SF voluntary reports. </w:t>
      </w:r>
    </w:p>
    <w:p w14:paraId="2660A5C2" w14:textId="77777777" w:rsidR="004B444A" w:rsidRPr="0089630F" w:rsidRDefault="004B444A" w:rsidP="000C1DDE">
      <w:pPr>
        <w:pStyle w:val="ListParagraph"/>
        <w:numPr>
          <w:ilvl w:val="0"/>
          <w:numId w:val="34"/>
        </w:numPr>
        <w:ind w:left="1418"/>
        <w:jc w:val="both"/>
        <w:rPr>
          <w:rFonts w:cs="Calibri"/>
          <w:lang w:val="en-GB"/>
        </w:rPr>
      </w:pPr>
      <w:r w:rsidRPr="0089630F">
        <w:rPr>
          <w:rFonts w:cs="Calibri"/>
          <w:lang w:val="en-GB"/>
        </w:rPr>
        <w:t>Non-State stakeholder dialogues and reporting</w:t>
      </w:r>
    </w:p>
    <w:p w14:paraId="64C3CB8E" w14:textId="77777777" w:rsidR="004B444A" w:rsidRPr="0089630F" w:rsidRDefault="004B444A" w:rsidP="000C1DDE">
      <w:pPr>
        <w:pStyle w:val="ListParagraph"/>
        <w:numPr>
          <w:ilvl w:val="0"/>
          <w:numId w:val="34"/>
        </w:numPr>
        <w:ind w:left="1418"/>
        <w:jc w:val="both"/>
        <w:rPr>
          <w:rFonts w:cs="Calibri"/>
          <w:lang w:val="en-GB"/>
        </w:rPr>
      </w:pPr>
      <w:r w:rsidRPr="0089630F">
        <w:rPr>
          <w:rFonts w:cs="Calibri"/>
          <w:lang w:val="en-GB"/>
        </w:rPr>
        <w:t>Reporting from the Stakeholder Engagement Mechanism on Disaster Risk Reduction</w:t>
      </w:r>
    </w:p>
    <w:p w14:paraId="4664FCBF" w14:textId="77777777" w:rsidR="004B444A" w:rsidRPr="0089630F" w:rsidRDefault="004B444A" w:rsidP="000C1DDE">
      <w:pPr>
        <w:pStyle w:val="ListParagraph"/>
        <w:numPr>
          <w:ilvl w:val="0"/>
          <w:numId w:val="34"/>
        </w:numPr>
        <w:ind w:left="1418"/>
        <w:jc w:val="both"/>
        <w:rPr>
          <w:rFonts w:cs="Calibri"/>
          <w:lang w:val="en-GB"/>
        </w:rPr>
      </w:pPr>
      <w:r w:rsidRPr="0089630F">
        <w:rPr>
          <w:rFonts w:cs="Calibri"/>
          <w:lang w:val="en-GB"/>
        </w:rPr>
        <w:t>Publications of the UNDRR Scientific and Technical Advisory Groups (STAGs)</w:t>
      </w:r>
    </w:p>
    <w:p w14:paraId="2B411663" w14:textId="77777777" w:rsidR="004B444A" w:rsidRPr="0089630F" w:rsidRDefault="004B444A" w:rsidP="000C1DDE">
      <w:pPr>
        <w:pStyle w:val="ListParagraph"/>
        <w:numPr>
          <w:ilvl w:val="0"/>
          <w:numId w:val="34"/>
        </w:numPr>
        <w:ind w:left="1418"/>
        <w:jc w:val="both"/>
        <w:rPr>
          <w:rFonts w:cs="Calibri"/>
          <w:lang w:val="en-GB"/>
        </w:rPr>
      </w:pPr>
      <w:r w:rsidRPr="0089630F">
        <w:rPr>
          <w:rFonts w:cs="Calibri"/>
          <w:lang w:val="en-GB"/>
        </w:rPr>
        <w:t>Consolidated reporting by the UN System / entities of the UN system</w:t>
      </w:r>
    </w:p>
    <w:p w14:paraId="7B049620" w14:textId="77777777" w:rsidR="004B444A" w:rsidRPr="0089630F" w:rsidRDefault="004B444A" w:rsidP="000C1DDE">
      <w:pPr>
        <w:pStyle w:val="ListParagraph"/>
        <w:numPr>
          <w:ilvl w:val="0"/>
          <w:numId w:val="34"/>
        </w:numPr>
        <w:ind w:left="1418"/>
        <w:jc w:val="both"/>
        <w:rPr>
          <w:rFonts w:cs="Calibri"/>
          <w:lang w:val="en-GB"/>
        </w:rPr>
      </w:pPr>
      <w:r w:rsidRPr="0089630F">
        <w:rPr>
          <w:rFonts w:cs="Calibri"/>
          <w:lang w:val="en-GB"/>
        </w:rPr>
        <w:t>Reports from individual entities of the UN system / IGOs</w:t>
      </w:r>
    </w:p>
    <w:p w14:paraId="7A00325F" w14:textId="77777777" w:rsidR="004B444A" w:rsidRPr="0089630F" w:rsidRDefault="004B444A" w:rsidP="004B444A">
      <w:pPr>
        <w:ind w:left="709"/>
        <w:jc w:val="both"/>
        <w:rPr>
          <w:rFonts w:cs="Calibri"/>
          <w:i/>
          <w:iCs/>
          <w:lang w:val="en-GB"/>
        </w:rPr>
      </w:pPr>
      <w:r w:rsidRPr="0089630F">
        <w:rPr>
          <w:rFonts w:cs="Calibri"/>
          <w:i/>
          <w:iCs/>
          <w:lang w:val="en-GB"/>
        </w:rPr>
        <w:t>2030 Agenda for Sustainable Development and other agendas and frameworks</w:t>
      </w:r>
    </w:p>
    <w:p w14:paraId="74996450" w14:textId="77777777" w:rsidR="004B444A" w:rsidRPr="0089630F" w:rsidRDefault="004B444A" w:rsidP="000C1DDE">
      <w:pPr>
        <w:pStyle w:val="ListParagraph"/>
        <w:numPr>
          <w:ilvl w:val="0"/>
          <w:numId w:val="34"/>
        </w:numPr>
        <w:ind w:left="1418"/>
        <w:jc w:val="both"/>
        <w:rPr>
          <w:rFonts w:cs="Calibri"/>
          <w:lang w:val="en-GB"/>
        </w:rPr>
      </w:pPr>
      <w:r w:rsidRPr="0089630F">
        <w:rPr>
          <w:rFonts w:cs="Calibri"/>
          <w:lang w:val="en-GB"/>
        </w:rPr>
        <w:t>Global Sustainable Development Reports – building on synergy between the 4 SF Priorities and the GSDR, including the levers, entry points and interconnections between the SDGs identified in the 2019 GSDR</w:t>
      </w:r>
    </w:p>
    <w:p w14:paraId="3BAA505E" w14:textId="77777777" w:rsidR="004B444A" w:rsidRPr="0089630F" w:rsidRDefault="004B444A" w:rsidP="000C1DDE">
      <w:pPr>
        <w:pStyle w:val="ListParagraph"/>
        <w:numPr>
          <w:ilvl w:val="0"/>
          <w:numId w:val="34"/>
        </w:numPr>
        <w:ind w:left="1418"/>
        <w:jc w:val="both"/>
        <w:rPr>
          <w:rFonts w:cs="Calibri"/>
          <w:lang w:val="en-GB"/>
        </w:rPr>
      </w:pPr>
      <w:r w:rsidRPr="0089630F">
        <w:rPr>
          <w:rFonts w:cs="Calibri"/>
          <w:lang w:val="en-GB"/>
        </w:rPr>
        <w:t>Voluntary National Reviews (VNR) on the implementation of the 2030 Agenda for Sustainable Development</w:t>
      </w:r>
    </w:p>
    <w:p w14:paraId="0FD9F101" w14:textId="77777777" w:rsidR="004B444A" w:rsidRPr="0089630F" w:rsidRDefault="004B444A" w:rsidP="000C1DDE">
      <w:pPr>
        <w:pStyle w:val="ListParagraph"/>
        <w:numPr>
          <w:ilvl w:val="0"/>
          <w:numId w:val="34"/>
        </w:numPr>
        <w:ind w:left="1418"/>
        <w:jc w:val="both"/>
        <w:rPr>
          <w:rFonts w:cstheme="minorHAnsi"/>
          <w:lang w:val="en-GB"/>
        </w:rPr>
      </w:pPr>
      <w:r w:rsidRPr="0089630F">
        <w:rPr>
          <w:rFonts w:cs="Calibri"/>
          <w:lang w:val="en-GB"/>
        </w:rPr>
        <w:t>Member Sta</w:t>
      </w:r>
      <w:r w:rsidRPr="0089630F">
        <w:rPr>
          <w:rFonts w:cstheme="minorHAnsi"/>
          <w:lang w:val="en-GB"/>
        </w:rPr>
        <w:t>te reporting through SDGs monitoring and reporting instruments (beyond SDGs 1, 11 and 13 for which the Sendai Framework Monitor provides some data)</w:t>
      </w:r>
    </w:p>
    <w:p w14:paraId="36FF7873" w14:textId="77777777" w:rsidR="004B444A" w:rsidRPr="0089630F" w:rsidRDefault="004B444A" w:rsidP="000C1DDE">
      <w:pPr>
        <w:pStyle w:val="ListParagraph"/>
        <w:numPr>
          <w:ilvl w:val="0"/>
          <w:numId w:val="34"/>
        </w:numPr>
        <w:ind w:left="1418"/>
        <w:jc w:val="both"/>
        <w:rPr>
          <w:rFonts w:cstheme="minorHAnsi"/>
          <w:lang w:val="en-GB"/>
        </w:rPr>
      </w:pPr>
      <w:r w:rsidRPr="0089630F">
        <w:rPr>
          <w:rFonts w:cstheme="minorHAnsi"/>
          <w:lang w:val="en-GB"/>
        </w:rPr>
        <w:t>Regional Economic Commissions and the Regional Forums on Sustainable Development</w:t>
      </w:r>
    </w:p>
    <w:p w14:paraId="01BC9964" w14:textId="77777777" w:rsidR="004B444A" w:rsidRPr="0089630F" w:rsidRDefault="004B444A" w:rsidP="000C1DDE">
      <w:pPr>
        <w:pStyle w:val="ListParagraph"/>
        <w:numPr>
          <w:ilvl w:val="0"/>
          <w:numId w:val="34"/>
        </w:numPr>
        <w:ind w:left="1418"/>
        <w:jc w:val="both"/>
        <w:rPr>
          <w:rFonts w:cstheme="minorHAnsi"/>
          <w:lang w:val="en-GB"/>
        </w:rPr>
      </w:pPr>
      <w:r w:rsidRPr="0089630F">
        <w:rPr>
          <w:rFonts w:cstheme="minorHAnsi"/>
          <w:lang w:val="en-GB"/>
        </w:rPr>
        <w:t>Reports of the midterm review of the Vienna Programme of Action for Landlocked Developing Countries for the Decade 2014-2024</w:t>
      </w:r>
    </w:p>
    <w:p w14:paraId="3B553AFD" w14:textId="77777777" w:rsidR="004B444A" w:rsidRPr="0089630F" w:rsidRDefault="004B444A" w:rsidP="000C1DDE">
      <w:pPr>
        <w:pStyle w:val="ListParagraph"/>
        <w:numPr>
          <w:ilvl w:val="0"/>
          <w:numId w:val="34"/>
        </w:numPr>
        <w:ind w:left="1418"/>
        <w:jc w:val="both"/>
        <w:rPr>
          <w:rFonts w:cstheme="minorHAnsi"/>
          <w:lang w:val="en-GB"/>
        </w:rPr>
      </w:pPr>
      <w:r w:rsidRPr="0089630F">
        <w:rPr>
          <w:rFonts w:cstheme="minorHAnsi"/>
          <w:lang w:val="en-GB"/>
        </w:rPr>
        <w:t>Reports of the midterm review of the SIDS Accelerated Modalities of Action (SAMOA) Pathway</w:t>
      </w:r>
    </w:p>
    <w:p w14:paraId="4FC4D573" w14:textId="77777777" w:rsidR="004B444A" w:rsidRPr="0089630F" w:rsidRDefault="004B444A" w:rsidP="000C1DDE">
      <w:pPr>
        <w:pStyle w:val="ListParagraph"/>
        <w:numPr>
          <w:ilvl w:val="0"/>
          <w:numId w:val="34"/>
        </w:numPr>
        <w:ind w:left="1418"/>
        <w:jc w:val="both"/>
        <w:rPr>
          <w:rFonts w:cstheme="minorHAnsi"/>
          <w:lang w:val="en-GB"/>
        </w:rPr>
      </w:pPr>
      <w:r w:rsidRPr="0089630F">
        <w:rPr>
          <w:rFonts w:cstheme="minorHAnsi"/>
          <w:lang w:val="en-GB"/>
        </w:rPr>
        <w:t>Reports of the global stocktake of the UN Convention on Biological Diversity and the Aichi Targets</w:t>
      </w:r>
    </w:p>
    <w:p w14:paraId="4D3D8FF1" w14:textId="77777777" w:rsidR="004B444A" w:rsidRPr="0089630F" w:rsidRDefault="004B444A" w:rsidP="000C1DDE">
      <w:pPr>
        <w:pStyle w:val="ListParagraph"/>
        <w:numPr>
          <w:ilvl w:val="0"/>
          <w:numId w:val="34"/>
        </w:numPr>
        <w:ind w:left="1418" w:hanging="357"/>
        <w:jc w:val="both"/>
        <w:rPr>
          <w:rFonts w:cstheme="minorHAnsi"/>
          <w:lang w:val="en-GB"/>
        </w:rPr>
      </w:pPr>
      <w:r w:rsidRPr="0089630F">
        <w:rPr>
          <w:rFonts w:cstheme="minorHAnsi"/>
          <w:lang w:val="en-GB"/>
        </w:rPr>
        <w:t>IPBES Global Assessment Report on Biodiversity and Ecosystem Services</w:t>
      </w:r>
    </w:p>
    <w:p w14:paraId="4DC7F15C" w14:textId="77777777" w:rsidR="004B444A" w:rsidRPr="0089630F" w:rsidRDefault="004B444A" w:rsidP="000C1DDE">
      <w:pPr>
        <w:pStyle w:val="ListParagraph"/>
        <w:numPr>
          <w:ilvl w:val="0"/>
          <w:numId w:val="34"/>
        </w:numPr>
        <w:ind w:left="1418"/>
        <w:jc w:val="both"/>
        <w:rPr>
          <w:rFonts w:cstheme="minorHAnsi"/>
          <w:lang w:val="en-GB"/>
        </w:rPr>
      </w:pPr>
      <w:r w:rsidRPr="0089630F">
        <w:rPr>
          <w:rFonts w:cstheme="minorHAnsi"/>
          <w:shd w:val="clear" w:color="auto" w:fill="FFFFFF"/>
          <w:lang w:val="en-GB"/>
        </w:rPr>
        <w:t>Reports of the International Migration Review Forum and the Global Compact for Safe, Orderly and Regular Migration</w:t>
      </w:r>
    </w:p>
    <w:p w14:paraId="0A8323FA" w14:textId="77777777" w:rsidR="004B444A" w:rsidRPr="0089630F" w:rsidRDefault="004B444A" w:rsidP="000C1DDE">
      <w:pPr>
        <w:pStyle w:val="ListParagraph"/>
        <w:numPr>
          <w:ilvl w:val="0"/>
          <w:numId w:val="34"/>
        </w:numPr>
        <w:ind w:left="1418" w:hanging="357"/>
        <w:jc w:val="both"/>
        <w:rPr>
          <w:rFonts w:cstheme="minorHAnsi"/>
          <w:lang w:val="en-GB"/>
        </w:rPr>
      </w:pPr>
      <w:r w:rsidRPr="0089630F">
        <w:rPr>
          <w:rFonts w:cstheme="minorHAnsi"/>
          <w:lang w:val="en-GB"/>
        </w:rPr>
        <w:t>Reports of global and regional preparatory meetings on the Midterm Comprehensive Review of the Implementation of the Objectives of the International Decade for Action</w:t>
      </w:r>
    </w:p>
    <w:p w14:paraId="6407E138" w14:textId="77777777" w:rsidR="004B444A" w:rsidRPr="0089630F" w:rsidRDefault="004B444A" w:rsidP="000C1DDE">
      <w:pPr>
        <w:pStyle w:val="ListParagraph"/>
        <w:numPr>
          <w:ilvl w:val="0"/>
          <w:numId w:val="34"/>
        </w:numPr>
        <w:ind w:left="1418" w:hanging="357"/>
        <w:jc w:val="both"/>
        <w:rPr>
          <w:rFonts w:cstheme="minorHAnsi"/>
          <w:lang w:val="en-GB"/>
        </w:rPr>
      </w:pPr>
      <w:r w:rsidRPr="0089630F">
        <w:rPr>
          <w:rFonts w:cstheme="minorHAnsi"/>
          <w:lang w:val="en-GB"/>
        </w:rPr>
        <w:t xml:space="preserve">Relevant reports and documents of UN Framework Convention on Climate Change (e.g., Conference of the Parties, Subsidiary and Constituent Bodies including the outputs of the </w:t>
      </w:r>
      <w:r w:rsidRPr="0089630F">
        <w:rPr>
          <w:lang w:val="en-GB"/>
        </w:rPr>
        <w:t>Technical Expert Group on Comprehensive Risk Management, the</w:t>
      </w:r>
      <w:r w:rsidRPr="0089630F">
        <w:rPr>
          <w:rFonts w:cstheme="minorHAnsi"/>
          <w:lang w:val="en-GB"/>
        </w:rPr>
        <w:t xml:space="preserve"> Warsaw International Mechanism for Loss and Damage and its expert groups)</w:t>
      </w:r>
    </w:p>
    <w:p w14:paraId="1D58126A" w14:textId="77777777" w:rsidR="004B444A" w:rsidRPr="0089630F" w:rsidRDefault="004B444A" w:rsidP="000C1DDE">
      <w:pPr>
        <w:pStyle w:val="ListParagraph"/>
        <w:numPr>
          <w:ilvl w:val="0"/>
          <w:numId w:val="34"/>
        </w:numPr>
        <w:ind w:left="1418" w:hanging="357"/>
        <w:jc w:val="both"/>
        <w:rPr>
          <w:rFonts w:cstheme="minorHAnsi"/>
          <w:lang w:val="en-GB"/>
        </w:rPr>
      </w:pPr>
      <w:r w:rsidRPr="0089630F">
        <w:rPr>
          <w:rFonts w:cstheme="minorHAnsi"/>
          <w:lang w:val="en-GB"/>
        </w:rPr>
        <w:t>Relevant inputs to and preparatory meetings of COP15 of the UN Convention to Combat Desertification</w:t>
      </w:r>
    </w:p>
    <w:p w14:paraId="30AFB1E2" w14:textId="01B5FEC4" w:rsidR="004B444A" w:rsidRPr="0089630F" w:rsidRDefault="004B444A" w:rsidP="000C1DDE">
      <w:pPr>
        <w:pStyle w:val="ListParagraph"/>
        <w:numPr>
          <w:ilvl w:val="0"/>
          <w:numId w:val="34"/>
        </w:numPr>
        <w:ind w:left="1418" w:hanging="357"/>
        <w:jc w:val="both"/>
        <w:rPr>
          <w:lang w:val="en-GB"/>
        </w:rPr>
      </w:pPr>
      <w:r w:rsidRPr="0089630F">
        <w:rPr>
          <w:rFonts w:cstheme="minorHAnsi"/>
          <w:lang w:val="en-GB"/>
        </w:rPr>
        <w:t>Relevant reports of the Midterm review of the implementation of the International Decade for Action, “Water for Sustainable Development”, 2018–2028.</w:t>
      </w:r>
      <w:r w:rsidRPr="0089630F">
        <w:rPr>
          <w:lang w:val="en-GB"/>
        </w:rPr>
        <w:br w:type="page"/>
      </w:r>
    </w:p>
    <w:p w14:paraId="5F47FA60" w14:textId="77777777" w:rsidR="004B444A" w:rsidRPr="0089630F" w:rsidRDefault="004B444A" w:rsidP="000C1DDE">
      <w:pPr>
        <w:pStyle w:val="ListParagraph"/>
        <w:numPr>
          <w:ilvl w:val="1"/>
          <w:numId w:val="42"/>
        </w:numPr>
        <w:spacing w:before="240" w:after="240"/>
        <w:ind w:left="709" w:hanging="709"/>
        <w:contextualSpacing w:val="0"/>
        <w:jc w:val="both"/>
        <w:rPr>
          <w:lang w:val="en-GB"/>
        </w:rPr>
      </w:pPr>
      <w:r w:rsidRPr="0089630F">
        <w:rPr>
          <w:lang w:val="en-GB"/>
        </w:rPr>
        <w:lastRenderedPageBreak/>
        <w:t>Figure 2 summarises the timeline of the MTR SF review, with selected key events of the accompanying process following.</w:t>
      </w:r>
    </w:p>
    <w:p w14:paraId="675D1575" w14:textId="77777777" w:rsidR="004B444A" w:rsidRPr="0089630F" w:rsidRDefault="004B444A" w:rsidP="004B444A">
      <w:pPr>
        <w:jc w:val="center"/>
        <w:rPr>
          <w:rFonts w:ascii="Calibri" w:hAnsi="Calibri" w:cs="Calibri"/>
          <w:lang w:val="en-GB"/>
        </w:rPr>
      </w:pPr>
      <w:r w:rsidRPr="0089630F">
        <w:rPr>
          <w:rFonts w:ascii="Calibri" w:hAnsi="Calibri" w:cs="Calibri"/>
          <w:noProof/>
          <w:lang w:val="en-GB"/>
        </w:rPr>
        <mc:AlternateContent>
          <mc:Choice Requires="wps">
            <w:drawing>
              <wp:anchor distT="0" distB="0" distL="114300" distR="114300" simplePos="0" relativeHeight="251659264" behindDoc="0" locked="0" layoutInCell="1" allowOverlap="1" wp14:anchorId="70EB1684" wp14:editId="05CBB7B3">
                <wp:simplePos x="0" y="0"/>
                <wp:positionH relativeFrom="column">
                  <wp:posOffset>2470150</wp:posOffset>
                </wp:positionH>
                <wp:positionV relativeFrom="paragraph">
                  <wp:posOffset>1354455</wp:posOffset>
                </wp:positionV>
                <wp:extent cx="829604" cy="651546"/>
                <wp:effectExtent l="0" t="6350" r="21590" b="40640"/>
                <wp:wrapNone/>
                <wp:docPr id="2" name="Arrow: U-Turn 2" descr="P488#y1"/>
                <wp:cNvGraphicFramePr/>
                <a:graphic xmlns:a="http://schemas.openxmlformats.org/drawingml/2006/main">
                  <a:graphicData uri="http://schemas.microsoft.com/office/word/2010/wordprocessingShape">
                    <wps:wsp>
                      <wps:cNvSpPr/>
                      <wps:spPr>
                        <a:xfrm rot="5400000">
                          <a:off x="0" y="0"/>
                          <a:ext cx="829604" cy="651546"/>
                        </a:xfrm>
                        <a:prstGeom prst="uturnArrow">
                          <a:avLst/>
                        </a:prstGeom>
                        <a:gradFill flip="none" rotWithShape="1">
                          <a:gsLst>
                            <a:gs pos="0">
                              <a:schemeClr val="bg1">
                                <a:lumMod val="65000"/>
                                <a:shade val="30000"/>
                                <a:satMod val="115000"/>
                              </a:schemeClr>
                            </a:gs>
                            <a:gs pos="50000">
                              <a:schemeClr val="bg1">
                                <a:lumMod val="65000"/>
                                <a:shade val="67500"/>
                                <a:satMod val="115000"/>
                              </a:schemeClr>
                            </a:gs>
                            <a:gs pos="100000">
                              <a:schemeClr val="bg1">
                                <a:lumMod val="65000"/>
                                <a:shade val="100000"/>
                                <a:satMod val="115000"/>
                              </a:schemeClr>
                            </a:gs>
                          </a:gsLst>
                          <a:path path="circle">
                            <a:fillToRect l="100000" b="100000"/>
                          </a:path>
                          <a:tileRect t="-100000" r="-100000"/>
                        </a:gra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C9BFF" id="Arrow: U-Turn 2" o:spid="_x0000_s1026" alt="P488#y1" style="position:absolute;margin-left:194.5pt;margin-top:106.65pt;width:65.3pt;height:51.3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9604,651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" path="m,651546l,285051c,127622,127622,,285051,l463109,c620538,,748160,127622,748160,285051v,13574,1,27148,1,40722l829604,325773,666718,488660,503831,325773r81443,l585274,285051v,-67470,-54695,-122165,-122165,-122165l285051,162887v-67470,,-122165,54695,-122165,122165c162886,407217,162887,529381,162887,651546l,651546xe" fillcolor="#a5a5a5 [2092]" strokecolor="white [3212]" strokeweight="1pt">
                <v:fill color2="#a5a5a5 [2092]" rotate="t" focusposition="1" focussize="" colors="0 #5f5f5f;.5 #8b8b8b;1 #a6a6a6" focus="100%" type="gradientRadial"/>
                <v:stroke joinstyle="miter"/>
                <v:path arrowok="t" o:connecttype="custom" o:connectlocs="0,651546;0,285051;285051,0;463109,0;748160,285051;748161,325773;829604,325773;666718,488660;503831,325773;585274,325773;585274,285051;463109,162886;285051,162887;162886,285052;162887,651546;0,651546" o:connectangles="0,0,0,0,0,0,0,0,0,0,0,0,0,0,0,0"/>
              </v:shape>
            </w:pict>
          </mc:Fallback>
        </mc:AlternateContent>
      </w:r>
      <w:r w:rsidRPr="0089630F">
        <w:rPr>
          <w:rFonts w:ascii="Calibri" w:hAnsi="Calibri" w:cs="Calibri"/>
          <w:noProof/>
          <w:lang w:val="en-GB"/>
        </w:rPr>
        <w:drawing>
          <wp:inline distT="0" distB="0" distL="0" distR="0" wp14:anchorId="7352F74F" wp14:editId="50E6951F">
            <wp:extent cx="5486400" cy="3200400"/>
            <wp:effectExtent l="0" t="0" r="0" b="57150"/>
            <wp:docPr id="1" name="Diagram 1" descr="P488#yIS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790D0883" w14:textId="77777777" w:rsidR="004B444A" w:rsidRPr="0089630F" w:rsidRDefault="004B444A" w:rsidP="000C1DDE">
      <w:pPr>
        <w:pStyle w:val="ListParagraph"/>
        <w:numPr>
          <w:ilvl w:val="1"/>
          <w:numId w:val="42"/>
        </w:numPr>
        <w:spacing w:before="240" w:after="120"/>
        <w:ind w:left="709" w:hanging="709"/>
        <w:contextualSpacing w:val="0"/>
        <w:jc w:val="both"/>
        <w:rPr>
          <w:lang w:val="en-GB"/>
        </w:rPr>
      </w:pPr>
      <w:r w:rsidRPr="0089630F">
        <w:rPr>
          <w:lang w:val="en-GB"/>
        </w:rPr>
        <w:t>Key events including other global stock taking exercises and reviews, and relevant intergovernmental events (non-exhaustive):</w:t>
      </w:r>
    </w:p>
    <w:p w14:paraId="040C6FB9" w14:textId="77777777" w:rsidR="004B444A" w:rsidRPr="0089630F" w:rsidRDefault="004B444A" w:rsidP="000C1DDE">
      <w:pPr>
        <w:pStyle w:val="ListParagraph"/>
        <w:numPr>
          <w:ilvl w:val="0"/>
          <w:numId w:val="34"/>
        </w:numPr>
        <w:spacing w:before="60" w:after="60"/>
        <w:ind w:left="1843" w:hanging="357"/>
        <w:contextualSpacing w:val="0"/>
        <w:jc w:val="both"/>
        <w:rPr>
          <w:rFonts w:ascii="Calibri" w:hAnsi="Calibri" w:cs="Calibri"/>
          <w:lang w:val="en-GB"/>
        </w:rPr>
      </w:pPr>
      <w:r w:rsidRPr="0089630F">
        <w:rPr>
          <w:rFonts w:ascii="Calibri" w:hAnsi="Calibri" w:cs="Calibri"/>
          <w:lang w:val="en-GB"/>
        </w:rPr>
        <w:t>Global and Regional Platforms for Disaster Risk Reduction:</w:t>
      </w:r>
    </w:p>
    <w:p w14:paraId="6C26AF7F" w14:textId="77777777" w:rsidR="004B444A" w:rsidRPr="0089630F" w:rsidRDefault="004B444A" w:rsidP="000C1DDE">
      <w:pPr>
        <w:pStyle w:val="ListParagraph"/>
        <w:numPr>
          <w:ilvl w:val="3"/>
          <w:numId w:val="38"/>
        </w:numPr>
        <w:spacing w:before="60" w:after="60"/>
        <w:ind w:left="2410" w:hanging="357"/>
        <w:contextualSpacing w:val="0"/>
        <w:jc w:val="both"/>
        <w:rPr>
          <w:rFonts w:ascii="Calibri" w:hAnsi="Calibri" w:cs="Calibri"/>
          <w:lang w:val="en-GB"/>
        </w:rPr>
      </w:pPr>
      <w:r w:rsidRPr="0089630F">
        <w:rPr>
          <w:rFonts w:ascii="Calibri" w:hAnsi="Calibri" w:cs="Calibri"/>
          <w:lang w:val="en-GB"/>
        </w:rPr>
        <w:t xml:space="preserve">Africa: 16-19 </w:t>
      </w:r>
      <w:proofErr w:type="gramStart"/>
      <w:r w:rsidRPr="0089630F">
        <w:rPr>
          <w:rFonts w:ascii="Calibri" w:hAnsi="Calibri" w:cs="Calibri"/>
          <w:lang w:val="en-GB"/>
        </w:rPr>
        <w:t>November,</w:t>
      </w:r>
      <w:proofErr w:type="gramEnd"/>
      <w:r w:rsidRPr="0089630F">
        <w:rPr>
          <w:rFonts w:ascii="Calibri" w:hAnsi="Calibri" w:cs="Calibri"/>
          <w:lang w:val="en-GB"/>
        </w:rPr>
        <w:t xml:space="preserve"> 2021 (Kenya) </w:t>
      </w:r>
    </w:p>
    <w:p w14:paraId="23278A2F" w14:textId="77777777" w:rsidR="004B444A" w:rsidRPr="0089630F" w:rsidRDefault="004B444A" w:rsidP="000C1DDE">
      <w:pPr>
        <w:pStyle w:val="ListParagraph"/>
        <w:numPr>
          <w:ilvl w:val="3"/>
          <w:numId w:val="38"/>
        </w:numPr>
        <w:spacing w:before="60" w:after="60"/>
        <w:ind w:left="2410" w:hanging="357"/>
        <w:contextualSpacing w:val="0"/>
        <w:jc w:val="both"/>
        <w:rPr>
          <w:rFonts w:ascii="Calibri" w:hAnsi="Calibri" w:cs="Calibri"/>
          <w:lang w:val="en-GB"/>
        </w:rPr>
      </w:pPr>
      <w:r w:rsidRPr="0089630F">
        <w:rPr>
          <w:rFonts w:ascii="Calibri" w:hAnsi="Calibri" w:cs="Calibri"/>
          <w:lang w:val="en-GB"/>
        </w:rPr>
        <w:t xml:space="preserve">Americas and the Caribbean: 1-4 </w:t>
      </w:r>
      <w:proofErr w:type="gramStart"/>
      <w:r w:rsidRPr="0089630F">
        <w:rPr>
          <w:rFonts w:ascii="Calibri" w:hAnsi="Calibri" w:cs="Calibri"/>
          <w:lang w:val="en-GB"/>
        </w:rPr>
        <w:t>November,</w:t>
      </w:r>
      <w:proofErr w:type="gramEnd"/>
      <w:r w:rsidRPr="0089630F">
        <w:rPr>
          <w:rFonts w:ascii="Calibri" w:hAnsi="Calibri" w:cs="Calibri"/>
          <w:lang w:val="en-GB"/>
        </w:rPr>
        <w:t xml:space="preserve"> 2021 (Jamaica)</w:t>
      </w:r>
    </w:p>
    <w:p w14:paraId="3EECE80B" w14:textId="77777777" w:rsidR="004B444A" w:rsidRPr="0089630F" w:rsidRDefault="004B444A" w:rsidP="000C1DDE">
      <w:pPr>
        <w:pStyle w:val="ListParagraph"/>
        <w:numPr>
          <w:ilvl w:val="3"/>
          <w:numId w:val="38"/>
        </w:numPr>
        <w:spacing w:before="60" w:after="60"/>
        <w:ind w:left="2410" w:hanging="357"/>
        <w:contextualSpacing w:val="0"/>
        <w:jc w:val="both"/>
        <w:rPr>
          <w:rFonts w:ascii="Calibri" w:hAnsi="Calibri" w:cs="Calibri"/>
          <w:lang w:val="en-GB"/>
        </w:rPr>
      </w:pPr>
      <w:r w:rsidRPr="0089630F">
        <w:rPr>
          <w:rFonts w:ascii="Calibri" w:hAnsi="Calibri" w:cs="Calibri"/>
          <w:lang w:val="en-GB"/>
        </w:rPr>
        <w:t xml:space="preserve">Arab States: 8-11 </w:t>
      </w:r>
      <w:proofErr w:type="gramStart"/>
      <w:r w:rsidRPr="0089630F">
        <w:rPr>
          <w:rFonts w:ascii="Calibri" w:hAnsi="Calibri" w:cs="Calibri"/>
          <w:lang w:val="en-GB"/>
        </w:rPr>
        <w:t>November,</w:t>
      </w:r>
      <w:proofErr w:type="gramEnd"/>
      <w:r w:rsidRPr="0089630F">
        <w:rPr>
          <w:rFonts w:ascii="Calibri" w:hAnsi="Calibri" w:cs="Calibri"/>
          <w:lang w:val="en-GB"/>
        </w:rPr>
        <w:t xml:space="preserve"> 2021 (Morocco)</w:t>
      </w:r>
      <w:r w:rsidRPr="0089630F" w:rsidDel="00A034B9">
        <w:rPr>
          <w:rFonts w:ascii="Calibri" w:hAnsi="Calibri" w:cs="Calibri"/>
          <w:lang w:val="en-GB"/>
        </w:rPr>
        <w:t xml:space="preserve"> </w:t>
      </w:r>
    </w:p>
    <w:p w14:paraId="218EC5F7" w14:textId="77777777" w:rsidR="004B444A" w:rsidRPr="0089630F" w:rsidRDefault="004B444A" w:rsidP="000C1DDE">
      <w:pPr>
        <w:pStyle w:val="ListParagraph"/>
        <w:numPr>
          <w:ilvl w:val="3"/>
          <w:numId w:val="38"/>
        </w:numPr>
        <w:spacing w:before="60" w:after="60"/>
        <w:ind w:left="2410" w:hanging="357"/>
        <w:contextualSpacing w:val="0"/>
        <w:jc w:val="both"/>
        <w:rPr>
          <w:rFonts w:ascii="Calibri" w:hAnsi="Calibri" w:cs="Calibri"/>
          <w:lang w:val="en-GB"/>
        </w:rPr>
      </w:pPr>
      <w:r w:rsidRPr="0089630F">
        <w:rPr>
          <w:rFonts w:ascii="Calibri" w:hAnsi="Calibri" w:cs="Calibri"/>
          <w:lang w:val="en-GB"/>
        </w:rPr>
        <w:t xml:space="preserve">European Forum on Disaster Risk Reduction: 24-26 </w:t>
      </w:r>
      <w:proofErr w:type="gramStart"/>
      <w:r w:rsidRPr="0089630F">
        <w:rPr>
          <w:rFonts w:ascii="Calibri" w:hAnsi="Calibri" w:cs="Calibri"/>
          <w:lang w:val="en-GB"/>
        </w:rPr>
        <w:t>November,</w:t>
      </w:r>
      <w:proofErr w:type="gramEnd"/>
      <w:r w:rsidRPr="0089630F">
        <w:rPr>
          <w:rFonts w:ascii="Calibri" w:hAnsi="Calibri" w:cs="Calibri"/>
          <w:lang w:val="en-GB"/>
        </w:rPr>
        <w:t xml:space="preserve"> 2021 (Portugal) </w:t>
      </w:r>
    </w:p>
    <w:p w14:paraId="7D4D51A5" w14:textId="77777777" w:rsidR="004B444A" w:rsidRPr="0089630F" w:rsidRDefault="004B444A" w:rsidP="000C1DDE">
      <w:pPr>
        <w:pStyle w:val="ListParagraph"/>
        <w:numPr>
          <w:ilvl w:val="3"/>
          <w:numId w:val="38"/>
        </w:numPr>
        <w:spacing w:before="60" w:after="60"/>
        <w:ind w:left="2410" w:hanging="357"/>
        <w:contextualSpacing w:val="0"/>
        <w:jc w:val="both"/>
        <w:rPr>
          <w:rFonts w:ascii="Calibri" w:hAnsi="Calibri" w:cs="Calibri"/>
          <w:lang w:val="en-GB"/>
        </w:rPr>
      </w:pPr>
      <w:r w:rsidRPr="0089630F">
        <w:rPr>
          <w:rFonts w:ascii="Calibri" w:hAnsi="Calibri" w:cs="Calibri"/>
          <w:lang w:val="en-GB"/>
        </w:rPr>
        <w:t xml:space="preserve">Global Platform for Disaster Risk Reduction (Indonesia): 23-28 </w:t>
      </w:r>
      <w:proofErr w:type="gramStart"/>
      <w:r w:rsidRPr="0089630F">
        <w:rPr>
          <w:rFonts w:ascii="Calibri" w:hAnsi="Calibri" w:cs="Calibri"/>
          <w:lang w:val="en-GB"/>
        </w:rPr>
        <w:t>May,</w:t>
      </w:r>
      <w:proofErr w:type="gramEnd"/>
      <w:r w:rsidRPr="0089630F">
        <w:rPr>
          <w:rFonts w:ascii="Calibri" w:hAnsi="Calibri" w:cs="Calibri"/>
          <w:lang w:val="en-GB"/>
        </w:rPr>
        <w:t xml:space="preserve"> 2022 (Indonesia)</w:t>
      </w:r>
    </w:p>
    <w:p w14:paraId="1A421AA2" w14:textId="11220813" w:rsidR="004B444A" w:rsidRPr="0089630F" w:rsidRDefault="004B444A" w:rsidP="000C1DDE">
      <w:pPr>
        <w:pStyle w:val="ListParagraph"/>
        <w:numPr>
          <w:ilvl w:val="3"/>
          <w:numId w:val="38"/>
        </w:numPr>
        <w:spacing w:before="60" w:after="120"/>
        <w:ind w:left="2410" w:hanging="357"/>
        <w:contextualSpacing w:val="0"/>
        <w:jc w:val="both"/>
        <w:rPr>
          <w:rFonts w:ascii="Calibri" w:hAnsi="Calibri" w:cs="Calibri"/>
          <w:lang w:val="en-GB"/>
        </w:rPr>
      </w:pPr>
      <w:r w:rsidRPr="0089630F">
        <w:rPr>
          <w:rFonts w:ascii="Calibri" w:hAnsi="Calibri" w:cs="Calibri"/>
          <w:lang w:val="en-GB"/>
        </w:rPr>
        <w:t xml:space="preserve">Asia Pacific Ministerial Conference on Disaster Risk Reduction: </w:t>
      </w:r>
      <w:r w:rsidR="0074014B">
        <w:rPr>
          <w:rFonts w:ascii="Calibri" w:hAnsi="Calibri" w:cs="Calibri"/>
          <w:lang w:val="en-GB"/>
        </w:rPr>
        <w:t>September</w:t>
      </w:r>
      <w:r w:rsidRPr="0089630F">
        <w:rPr>
          <w:rFonts w:ascii="Calibri" w:hAnsi="Calibri" w:cs="Calibri"/>
          <w:lang w:val="en-GB"/>
        </w:rPr>
        <w:t xml:space="preserve"> 2022 (Australia) </w:t>
      </w:r>
      <w:r w:rsidRPr="0089630F">
        <w:rPr>
          <w:rFonts w:ascii="Calibri" w:hAnsi="Calibri" w:cs="Calibri"/>
          <w:color w:val="C00000"/>
          <w:lang w:val="en-GB"/>
        </w:rPr>
        <w:t>TBC</w:t>
      </w:r>
    </w:p>
    <w:p w14:paraId="4857862F" w14:textId="77777777" w:rsidR="004B444A" w:rsidRPr="0089630F" w:rsidRDefault="004B444A" w:rsidP="000C1DDE">
      <w:pPr>
        <w:pStyle w:val="ListParagraph"/>
        <w:numPr>
          <w:ilvl w:val="0"/>
          <w:numId w:val="34"/>
        </w:numPr>
        <w:spacing w:before="60" w:after="60"/>
        <w:ind w:left="1843" w:hanging="357"/>
        <w:contextualSpacing w:val="0"/>
        <w:jc w:val="both"/>
        <w:rPr>
          <w:rFonts w:ascii="Calibri" w:hAnsi="Calibri" w:cs="Calibri"/>
          <w:lang w:val="en-GB"/>
        </w:rPr>
      </w:pPr>
      <w:r w:rsidRPr="0089630F">
        <w:rPr>
          <w:rFonts w:ascii="Calibri" w:hAnsi="Calibri" w:cs="Calibri"/>
          <w:lang w:val="en-GB"/>
        </w:rPr>
        <w:t xml:space="preserve">COP 15 of the CBD: 11-15 October 2021 &amp; 25 April – 8 </w:t>
      </w:r>
      <w:proofErr w:type="gramStart"/>
      <w:r w:rsidRPr="0089630F">
        <w:rPr>
          <w:rFonts w:ascii="Calibri" w:hAnsi="Calibri" w:cs="Calibri"/>
          <w:lang w:val="en-GB"/>
        </w:rPr>
        <w:t>May,</w:t>
      </w:r>
      <w:proofErr w:type="gramEnd"/>
      <w:r w:rsidRPr="0089630F">
        <w:rPr>
          <w:rFonts w:ascii="Calibri" w:hAnsi="Calibri" w:cs="Calibri"/>
          <w:lang w:val="en-GB"/>
        </w:rPr>
        <w:t xml:space="preserve"> 2022</w:t>
      </w:r>
    </w:p>
    <w:p w14:paraId="60C3959C" w14:textId="77777777" w:rsidR="004B444A" w:rsidRPr="0089630F" w:rsidRDefault="004B444A" w:rsidP="000C1DDE">
      <w:pPr>
        <w:pStyle w:val="ListParagraph"/>
        <w:numPr>
          <w:ilvl w:val="0"/>
          <w:numId w:val="34"/>
        </w:numPr>
        <w:spacing w:before="60" w:after="60"/>
        <w:ind w:left="1843" w:hanging="357"/>
        <w:contextualSpacing w:val="0"/>
        <w:jc w:val="both"/>
        <w:rPr>
          <w:rFonts w:ascii="Calibri" w:hAnsi="Calibri" w:cs="Calibri"/>
          <w:lang w:val="en-GB"/>
        </w:rPr>
      </w:pPr>
      <w:r w:rsidRPr="0089630F">
        <w:rPr>
          <w:rFonts w:ascii="Calibri" w:hAnsi="Calibri" w:cs="Calibri"/>
          <w:lang w:val="en-GB"/>
        </w:rPr>
        <w:t xml:space="preserve">COP 26 of the UNFCCC: 31 October – 12 </w:t>
      </w:r>
      <w:proofErr w:type="gramStart"/>
      <w:r w:rsidRPr="0089630F">
        <w:rPr>
          <w:rFonts w:ascii="Calibri" w:hAnsi="Calibri" w:cs="Calibri"/>
          <w:lang w:val="en-GB"/>
        </w:rPr>
        <w:t>November,</w:t>
      </w:r>
      <w:proofErr w:type="gramEnd"/>
      <w:r w:rsidRPr="0089630F">
        <w:rPr>
          <w:rFonts w:ascii="Calibri" w:hAnsi="Calibri" w:cs="Calibri"/>
          <w:lang w:val="en-GB"/>
        </w:rPr>
        <w:t xml:space="preserve"> 2021 (UK)</w:t>
      </w:r>
    </w:p>
    <w:p w14:paraId="4A4F6806" w14:textId="77777777" w:rsidR="004B444A" w:rsidRPr="0089630F" w:rsidRDefault="004B444A" w:rsidP="000C1DDE">
      <w:pPr>
        <w:pStyle w:val="ListParagraph"/>
        <w:numPr>
          <w:ilvl w:val="0"/>
          <w:numId w:val="34"/>
        </w:numPr>
        <w:spacing w:before="60" w:after="60"/>
        <w:ind w:left="1843" w:hanging="357"/>
        <w:contextualSpacing w:val="0"/>
        <w:jc w:val="both"/>
        <w:rPr>
          <w:rFonts w:ascii="Calibri" w:hAnsi="Calibri" w:cs="Calibri"/>
          <w:lang w:val="en-GB"/>
        </w:rPr>
      </w:pPr>
      <w:r w:rsidRPr="0089630F">
        <w:rPr>
          <w:shd w:val="clear" w:color="auto" w:fill="FFFFFF"/>
          <w:lang w:val="en-GB"/>
        </w:rPr>
        <w:t>5</w:t>
      </w:r>
      <w:r w:rsidRPr="0089630F">
        <w:rPr>
          <w:shd w:val="clear" w:color="auto" w:fill="FFFFFF"/>
          <w:vertAlign w:val="superscript"/>
          <w:lang w:val="en-GB"/>
        </w:rPr>
        <w:t>th</w:t>
      </w:r>
      <w:r w:rsidRPr="0089630F">
        <w:rPr>
          <w:shd w:val="clear" w:color="auto" w:fill="FFFFFF"/>
          <w:lang w:val="en-GB"/>
        </w:rPr>
        <w:t xml:space="preserve"> United Nations </w:t>
      </w:r>
      <w:r w:rsidRPr="0089630F">
        <w:rPr>
          <w:bdr w:val="none" w:sz="0" w:space="0" w:color="auto" w:frame="1"/>
          <w:shd w:val="clear" w:color="auto" w:fill="FFFFFF"/>
          <w:lang w:val="en-GB"/>
        </w:rPr>
        <w:t>Conference</w:t>
      </w:r>
      <w:r w:rsidRPr="0089630F">
        <w:rPr>
          <w:shd w:val="clear" w:color="auto" w:fill="FFFFFF"/>
          <w:lang w:val="en-GB"/>
        </w:rPr>
        <w:t> on the Least Developed Countries (LDC5): 23-27 </w:t>
      </w:r>
      <w:proofErr w:type="gramStart"/>
      <w:r w:rsidRPr="0089630F">
        <w:rPr>
          <w:bdr w:val="none" w:sz="0" w:space="0" w:color="auto" w:frame="1"/>
          <w:shd w:val="clear" w:color="auto" w:fill="FFFFFF"/>
          <w:lang w:val="en-GB"/>
        </w:rPr>
        <w:t>January,</w:t>
      </w:r>
      <w:proofErr w:type="gramEnd"/>
      <w:r w:rsidRPr="0089630F">
        <w:rPr>
          <w:shd w:val="clear" w:color="auto" w:fill="FFFFFF"/>
          <w:lang w:val="en-GB"/>
        </w:rPr>
        <w:t> </w:t>
      </w:r>
      <w:r w:rsidRPr="0089630F">
        <w:rPr>
          <w:bdr w:val="none" w:sz="0" w:space="0" w:color="auto" w:frame="1"/>
          <w:shd w:val="clear" w:color="auto" w:fill="FFFFFF"/>
          <w:lang w:val="en-GB"/>
        </w:rPr>
        <w:t>2022 (Doha)</w:t>
      </w:r>
    </w:p>
    <w:p w14:paraId="63568CAA" w14:textId="77777777" w:rsidR="004B444A" w:rsidRPr="0089630F" w:rsidRDefault="004B444A" w:rsidP="000C1DDE">
      <w:pPr>
        <w:pStyle w:val="ListParagraph"/>
        <w:numPr>
          <w:ilvl w:val="0"/>
          <w:numId w:val="34"/>
        </w:numPr>
        <w:spacing w:before="60" w:after="60"/>
        <w:ind w:left="1843" w:hanging="357"/>
        <w:contextualSpacing w:val="0"/>
        <w:jc w:val="both"/>
        <w:rPr>
          <w:rFonts w:ascii="Calibri" w:hAnsi="Calibri" w:cs="Calibri"/>
          <w:lang w:val="en-GB"/>
        </w:rPr>
      </w:pPr>
      <w:r w:rsidRPr="0089630F">
        <w:rPr>
          <w:rFonts w:cstheme="minorHAnsi"/>
          <w:bdr w:val="none" w:sz="0" w:space="0" w:color="auto" w:frame="1"/>
          <w:lang w:val="en-GB"/>
        </w:rPr>
        <w:t>Regional Forums on Sustainable Development: February-April 2022 and 2023</w:t>
      </w:r>
    </w:p>
    <w:p w14:paraId="0A5F3179" w14:textId="77777777" w:rsidR="004B444A" w:rsidRPr="0089630F" w:rsidRDefault="004B444A" w:rsidP="000C1DDE">
      <w:pPr>
        <w:pStyle w:val="ListParagraph"/>
        <w:numPr>
          <w:ilvl w:val="0"/>
          <w:numId w:val="34"/>
        </w:numPr>
        <w:spacing w:before="60" w:after="60"/>
        <w:ind w:left="1843" w:hanging="357"/>
        <w:contextualSpacing w:val="0"/>
        <w:jc w:val="both"/>
        <w:rPr>
          <w:rFonts w:cstheme="minorHAnsi"/>
          <w:lang w:val="en-GB"/>
        </w:rPr>
      </w:pPr>
      <w:r w:rsidRPr="0089630F">
        <w:rPr>
          <w:rFonts w:cstheme="minorHAnsi"/>
          <w:bdr w:val="none" w:sz="0" w:space="0" w:color="auto" w:frame="1"/>
          <w:lang w:val="en-GB"/>
        </w:rPr>
        <w:t>COP 15 of the UNCCD: May 2022 (C</w:t>
      </w:r>
      <w:r w:rsidRPr="0089630F">
        <w:rPr>
          <w:rFonts w:cstheme="minorHAnsi"/>
          <w:shd w:val="clear" w:color="auto" w:fill="FFFFFF"/>
          <w:lang w:val="en-GB"/>
        </w:rPr>
        <w:t>ô</w:t>
      </w:r>
      <w:r w:rsidRPr="0089630F">
        <w:rPr>
          <w:rFonts w:cstheme="minorHAnsi"/>
          <w:bdr w:val="none" w:sz="0" w:space="0" w:color="auto" w:frame="1"/>
          <w:lang w:val="en-GB"/>
        </w:rPr>
        <w:t>te d’Ivoire)</w:t>
      </w:r>
    </w:p>
    <w:p w14:paraId="00F9AF06" w14:textId="77777777" w:rsidR="004B444A" w:rsidRPr="0089630F" w:rsidRDefault="004B444A" w:rsidP="000C1DDE">
      <w:pPr>
        <w:pStyle w:val="ListParagraph"/>
        <w:numPr>
          <w:ilvl w:val="0"/>
          <w:numId w:val="34"/>
        </w:numPr>
        <w:spacing w:before="60" w:after="60"/>
        <w:ind w:left="1843" w:hanging="357"/>
        <w:contextualSpacing w:val="0"/>
        <w:jc w:val="both"/>
        <w:rPr>
          <w:rFonts w:ascii="Calibri" w:hAnsi="Calibri" w:cs="Calibri"/>
          <w:lang w:val="en-GB"/>
        </w:rPr>
      </w:pPr>
      <w:r w:rsidRPr="0089630F">
        <w:rPr>
          <w:rFonts w:cstheme="minorHAnsi"/>
          <w:bdr w:val="none" w:sz="0" w:space="0" w:color="auto" w:frame="1"/>
          <w:lang w:val="en-GB"/>
        </w:rPr>
        <w:t xml:space="preserve">Midterm review of the Water Action Decade in 2023: </w:t>
      </w:r>
      <w:r w:rsidRPr="0089630F">
        <w:rPr>
          <w:rFonts w:cstheme="minorHAnsi"/>
          <w:lang w:val="en-GB"/>
        </w:rPr>
        <w:t xml:space="preserve">22-24 </w:t>
      </w:r>
      <w:proofErr w:type="gramStart"/>
      <w:r w:rsidRPr="0089630F">
        <w:rPr>
          <w:rFonts w:cstheme="minorHAnsi"/>
          <w:lang w:val="en-GB"/>
        </w:rPr>
        <w:t>March,</w:t>
      </w:r>
      <w:proofErr w:type="gramEnd"/>
      <w:r w:rsidRPr="0089630F">
        <w:rPr>
          <w:rFonts w:cstheme="minorHAnsi"/>
          <w:lang w:val="en-GB"/>
        </w:rPr>
        <w:t> </w:t>
      </w:r>
      <w:r w:rsidRPr="0089630F">
        <w:rPr>
          <w:rFonts w:cstheme="minorHAnsi"/>
          <w:bdr w:val="none" w:sz="0" w:space="0" w:color="auto" w:frame="1"/>
          <w:lang w:val="en-GB"/>
        </w:rPr>
        <w:t>2023</w:t>
      </w:r>
      <w:r w:rsidRPr="0089630F">
        <w:rPr>
          <w:rFonts w:cstheme="minorHAnsi"/>
          <w:lang w:val="en-GB"/>
        </w:rPr>
        <w:t xml:space="preserve"> (New York)</w:t>
      </w:r>
    </w:p>
    <w:p w14:paraId="05BC3846" w14:textId="77777777" w:rsidR="004B444A" w:rsidRPr="0089630F" w:rsidRDefault="004B444A" w:rsidP="000C1DDE">
      <w:pPr>
        <w:pStyle w:val="ListParagraph"/>
        <w:numPr>
          <w:ilvl w:val="0"/>
          <w:numId w:val="34"/>
        </w:numPr>
        <w:spacing w:before="60" w:after="60"/>
        <w:ind w:left="1843" w:hanging="357"/>
        <w:contextualSpacing w:val="0"/>
        <w:jc w:val="both"/>
        <w:rPr>
          <w:rFonts w:ascii="Calibri" w:hAnsi="Calibri" w:cs="Calibri"/>
          <w:lang w:val="en-GB"/>
        </w:rPr>
      </w:pPr>
      <w:r w:rsidRPr="0089630F">
        <w:rPr>
          <w:rFonts w:ascii="Calibri" w:hAnsi="Calibri" w:cs="Calibri"/>
          <w:lang w:val="en-GB"/>
        </w:rPr>
        <w:t>ECOSOC cycles culminating in the HLPF: 2022, 2023 (New York)</w:t>
      </w:r>
    </w:p>
    <w:p w14:paraId="20C786A9" w14:textId="77777777" w:rsidR="004B444A" w:rsidRPr="0089630F" w:rsidRDefault="004B444A" w:rsidP="000C1DDE">
      <w:pPr>
        <w:pStyle w:val="ListParagraph"/>
        <w:numPr>
          <w:ilvl w:val="0"/>
          <w:numId w:val="34"/>
        </w:numPr>
        <w:spacing w:before="60" w:after="0"/>
        <w:ind w:left="1843" w:hanging="357"/>
        <w:contextualSpacing w:val="0"/>
        <w:jc w:val="both"/>
        <w:rPr>
          <w:rFonts w:ascii="Calibri" w:hAnsi="Calibri" w:cs="Calibri"/>
          <w:lang w:val="en-GB"/>
        </w:rPr>
      </w:pPr>
      <w:r w:rsidRPr="0089630F">
        <w:rPr>
          <w:rFonts w:ascii="Calibri" w:hAnsi="Calibri" w:cs="Calibri"/>
          <w:lang w:val="en-GB"/>
        </w:rPr>
        <w:t>UNGA High Level week / SDGs Summit: September 2023 (New York)</w:t>
      </w:r>
      <w:r w:rsidRPr="0089630F">
        <w:rPr>
          <w:rFonts w:ascii="Calibri" w:hAnsi="Calibri" w:cs="Calibri"/>
          <w:lang w:val="en-GB"/>
        </w:rPr>
        <w:br w:type="page"/>
      </w:r>
    </w:p>
    <w:p w14:paraId="2185CD55" w14:textId="260365D8" w:rsidR="004B444A" w:rsidRPr="0089630F" w:rsidRDefault="00D60180" w:rsidP="004B444A">
      <w:pPr>
        <w:pStyle w:val="Heading1"/>
        <w:spacing w:after="240"/>
        <w:rPr>
          <w:b/>
          <w:bCs/>
          <w:smallCaps/>
        </w:rPr>
      </w:pPr>
      <w:r w:rsidRPr="0089630F">
        <w:rPr>
          <w:b/>
          <w:bCs/>
          <w:smallCaps/>
        </w:rPr>
        <w:lastRenderedPageBreak/>
        <w:t>Appendices</w:t>
      </w:r>
    </w:p>
    <w:p w14:paraId="2522F874" w14:textId="77777777" w:rsidR="004B444A" w:rsidRPr="0089630F" w:rsidRDefault="004B444A" w:rsidP="004B444A">
      <w:pPr>
        <w:spacing w:before="240" w:after="240"/>
        <w:jc w:val="both"/>
        <w:rPr>
          <w:lang w:val="en-GB"/>
        </w:rPr>
      </w:pPr>
      <w:r w:rsidRPr="0089630F">
        <w:rPr>
          <w:lang w:val="en-GB"/>
        </w:rPr>
        <w:t>The following Strategic and Guiding Questions are provided to guide Member States and stakeholders in undertaking consultations and review, and in developing inputs and reports (including voluntary national reports) to the MTR SF.</w:t>
      </w:r>
    </w:p>
    <w:p w14:paraId="49A24FAC" w14:textId="607F8D84" w:rsidR="004B444A" w:rsidRPr="0089630F" w:rsidRDefault="004B444A" w:rsidP="004B444A">
      <w:pPr>
        <w:jc w:val="both"/>
        <w:rPr>
          <w:lang w:val="en-GB"/>
        </w:rPr>
      </w:pPr>
      <w:r w:rsidRPr="0089630F">
        <w:rPr>
          <w:lang w:val="en-GB"/>
        </w:rPr>
        <w:t xml:space="preserve">A recommended reporting template will be provided by UNDRR for use by Member States and stakeholders, that will draw from these questions. The template will identify core questions from </w:t>
      </w:r>
      <w:r w:rsidR="00D60180" w:rsidRPr="0089630F">
        <w:rPr>
          <w:lang w:val="en-GB"/>
        </w:rPr>
        <w:t>Appendix</w:t>
      </w:r>
      <w:r w:rsidRPr="0089630F">
        <w:rPr>
          <w:lang w:val="en-GB"/>
        </w:rPr>
        <w:t xml:space="preserve"> I to be addressed by all State and non-State actors, </w:t>
      </w:r>
      <w:proofErr w:type="gramStart"/>
      <w:r w:rsidRPr="0089630F">
        <w:rPr>
          <w:lang w:val="en-GB"/>
        </w:rPr>
        <w:t>so as to</w:t>
      </w:r>
      <w:proofErr w:type="gramEnd"/>
      <w:r w:rsidRPr="0089630F">
        <w:rPr>
          <w:lang w:val="en-GB"/>
        </w:rPr>
        <w:t xml:space="preserve"> facilitate analysis of stock taking on progress, identification of changes in context, compilation of recommendations for prioritised, accelerated and integrated cooperation and action, and nascent thinking on possible post-2030 arrangements for risk-informed sustainable development.</w:t>
      </w:r>
    </w:p>
    <w:p w14:paraId="72D74D4A" w14:textId="4220F607" w:rsidR="004B444A" w:rsidRPr="0089630F" w:rsidRDefault="004B444A" w:rsidP="004B444A">
      <w:pPr>
        <w:jc w:val="both"/>
        <w:rPr>
          <w:lang w:val="en-GB"/>
        </w:rPr>
      </w:pPr>
      <w:r w:rsidRPr="0089630F">
        <w:rPr>
          <w:lang w:val="en-GB"/>
        </w:rPr>
        <w:t xml:space="preserve">Beyond the core questions, the reporting template will allow for the inclusion of additional enquiry, including but not restricted to other questions listed in the </w:t>
      </w:r>
      <w:r w:rsidR="00D60180" w:rsidRPr="0089630F">
        <w:rPr>
          <w:lang w:val="en-GB"/>
        </w:rPr>
        <w:t>Appendic</w:t>
      </w:r>
      <w:r w:rsidRPr="0089630F">
        <w:rPr>
          <w:lang w:val="en-GB"/>
        </w:rPr>
        <w:t>es to this Concept Note, as well as other issues identified by Member States and stakeholders as pertinent to the MTR SF.</w:t>
      </w:r>
    </w:p>
    <w:p w14:paraId="48BD0346" w14:textId="5D299DE6" w:rsidR="004B444A" w:rsidRPr="0089630F" w:rsidRDefault="00D60180" w:rsidP="004B444A">
      <w:pPr>
        <w:pStyle w:val="Heading1"/>
        <w:spacing w:after="240"/>
      </w:pPr>
      <w:r w:rsidRPr="0089630F">
        <w:t>Appendix</w:t>
      </w:r>
      <w:r w:rsidR="004B444A" w:rsidRPr="0089630F">
        <w:t xml:space="preserve"> I</w:t>
      </w:r>
    </w:p>
    <w:p w14:paraId="163363C8" w14:textId="77777777" w:rsidR="004B444A" w:rsidRPr="0089630F" w:rsidRDefault="004B444A" w:rsidP="004B444A">
      <w:pPr>
        <w:pStyle w:val="Heading2"/>
        <w:spacing w:before="240"/>
      </w:pPr>
      <w:bookmarkStart w:id="3" w:name="_Hlk80107922"/>
      <w:r w:rsidRPr="0089630F">
        <w:t xml:space="preserve">Strategic Questions </w:t>
      </w:r>
    </w:p>
    <w:bookmarkEnd w:id="3"/>
    <w:p w14:paraId="4C87B0D8" w14:textId="77777777" w:rsidR="004B444A" w:rsidRPr="0089630F" w:rsidRDefault="004B444A" w:rsidP="004B444A">
      <w:pPr>
        <w:pStyle w:val="Heading3"/>
        <w:spacing w:before="240" w:after="120"/>
        <w:rPr>
          <w:color w:val="C00000"/>
        </w:rPr>
      </w:pPr>
      <w:r w:rsidRPr="0089630F">
        <w:rPr>
          <w:color w:val="C00000"/>
        </w:rPr>
        <w:t>Purpose</w:t>
      </w:r>
    </w:p>
    <w:p w14:paraId="0C98295C" w14:textId="77777777" w:rsidR="004B444A" w:rsidRPr="0089630F" w:rsidRDefault="004B444A" w:rsidP="000C1DDE">
      <w:pPr>
        <w:pStyle w:val="ListParagraph"/>
        <w:numPr>
          <w:ilvl w:val="2"/>
          <w:numId w:val="40"/>
        </w:numPr>
        <w:spacing w:before="120" w:after="120"/>
        <w:ind w:left="426" w:hanging="425"/>
        <w:contextualSpacing w:val="0"/>
        <w:jc w:val="both"/>
        <w:rPr>
          <w:lang w:val="en-GB"/>
        </w:rPr>
      </w:pPr>
      <w:r w:rsidRPr="0089630F">
        <w:rPr>
          <w:lang w:val="en-GB"/>
        </w:rPr>
        <w:t>How have (development) decisions in public and private sectors, as well as civil society, been made more sustainable through implementation of the Sendai Framework?</w:t>
      </w:r>
    </w:p>
    <w:p w14:paraId="44776E90" w14:textId="77777777" w:rsidR="004B444A" w:rsidRPr="0089630F" w:rsidRDefault="004B444A" w:rsidP="000C1DDE">
      <w:pPr>
        <w:pStyle w:val="ListParagraph"/>
        <w:numPr>
          <w:ilvl w:val="2"/>
          <w:numId w:val="40"/>
        </w:numPr>
        <w:spacing w:before="240" w:after="120"/>
        <w:ind w:left="426" w:hanging="425"/>
        <w:contextualSpacing w:val="0"/>
        <w:jc w:val="both"/>
        <w:rPr>
          <w:lang w:val="en-GB"/>
        </w:rPr>
      </w:pPr>
      <w:r w:rsidRPr="0089630F">
        <w:rPr>
          <w:lang w:val="en-GB"/>
        </w:rPr>
        <w:t>Are the root causes and underlying drivers of disaster risk better understood, and more systemically addressed across all sectors, scales and disciplines? When analysing trade-offs and co-benefits between development pathways, reflective of the interconnections across the Sustainable Development Goals, how is their impact on underlying disaster risk considered?</w:t>
      </w:r>
    </w:p>
    <w:p w14:paraId="34D9505F" w14:textId="77777777" w:rsidR="004B444A" w:rsidRPr="0089630F" w:rsidRDefault="004B444A" w:rsidP="000C1DDE">
      <w:pPr>
        <w:pStyle w:val="ListParagraph"/>
        <w:numPr>
          <w:ilvl w:val="2"/>
          <w:numId w:val="40"/>
        </w:numPr>
        <w:spacing w:before="240" w:after="120"/>
        <w:ind w:left="426" w:hanging="425"/>
        <w:contextualSpacing w:val="0"/>
        <w:jc w:val="both"/>
        <w:rPr>
          <w:lang w:val="en-GB"/>
        </w:rPr>
      </w:pPr>
      <w:r w:rsidRPr="0089630F">
        <w:rPr>
          <w:lang w:val="en-GB"/>
        </w:rPr>
        <w:t xml:space="preserve">What do governments and other stakeholders consider </w:t>
      </w:r>
      <w:proofErr w:type="gramStart"/>
      <w:r w:rsidRPr="0089630F">
        <w:rPr>
          <w:lang w:val="en-GB"/>
        </w:rPr>
        <w:t>to have</w:t>
      </w:r>
      <w:proofErr w:type="gramEnd"/>
      <w:r w:rsidRPr="0089630F">
        <w:rPr>
          <w:lang w:val="en-GB"/>
        </w:rPr>
        <w:t xml:space="preserve"> been the major achievements, challenges and barriers to implementation of the Sendai Framework, and lessons identified?</w:t>
      </w:r>
    </w:p>
    <w:p w14:paraId="0FED1FFC" w14:textId="77777777" w:rsidR="004B444A" w:rsidRPr="0089630F" w:rsidRDefault="004B444A" w:rsidP="000C1DDE">
      <w:pPr>
        <w:pStyle w:val="ListParagraph"/>
        <w:numPr>
          <w:ilvl w:val="2"/>
          <w:numId w:val="40"/>
        </w:numPr>
        <w:spacing w:before="240" w:after="120"/>
        <w:ind w:left="426" w:hanging="425"/>
        <w:contextualSpacing w:val="0"/>
        <w:jc w:val="both"/>
        <w:rPr>
          <w:lang w:val="en-GB"/>
        </w:rPr>
      </w:pPr>
      <w:r w:rsidRPr="0089630F">
        <w:rPr>
          <w:lang w:val="en-GB"/>
        </w:rPr>
        <w:t>What have been the major changes to the contexts within which governments and other stakeholders have been implementing the Framework since 2015? What major changes / emerging issues / topics of concern are anticipated in the period to 2030 which will need to be considered in prioritising, accelerating and amplifying action?</w:t>
      </w:r>
    </w:p>
    <w:p w14:paraId="16F0C75D" w14:textId="77777777" w:rsidR="004B444A" w:rsidRPr="0089630F" w:rsidRDefault="004B444A" w:rsidP="000C1DDE">
      <w:pPr>
        <w:pStyle w:val="ListParagraph"/>
        <w:numPr>
          <w:ilvl w:val="2"/>
          <w:numId w:val="40"/>
        </w:numPr>
        <w:spacing w:before="240" w:after="120"/>
        <w:ind w:left="426" w:hanging="425"/>
        <w:contextualSpacing w:val="0"/>
        <w:jc w:val="both"/>
        <w:rPr>
          <w:rFonts w:ascii="Calibri" w:hAnsi="Calibri" w:cs="Calibri"/>
          <w:lang w:val="en-GB"/>
        </w:rPr>
      </w:pPr>
      <w:r w:rsidRPr="0089630F">
        <w:rPr>
          <w:rFonts w:ascii="Calibri" w:hAnsi="Calibri" w:cs="Calibri"/>
          <w:lang w:val="en-GB"/>
        </w:rPr>
        <w:t>What adjustments are required in policy, regulatory and legislative frameworks, strategy, epistemology, organisation or investment to capitalise on opportunities or to mitigate new / emerging threats to the achievement of the expected outcome and goal of the Sendai Framework?</w:t>
      </w:r>
    </w:p>
    <w:p w14:paraId="2E1CF2D5" w14:textId="77777777" w:rsidR="004B444A" w:rsidRPr="0089630F" w:rsidRDefault="004B444A" w:rsidP="000C1DDE">
      <w:pPr>
        <w:pStyle w:val="ListParagraph"/>
        <w:numPr>
          <w:ilvl w:val="2"/>
          <w:numId w:val="40"/>
        </w:numPr>
        <w:spacing w:before="240" w:after="120"/>
        <w:ind w:left="426" w:hanging="425"/>
        <w:contextualSpacing w:val="0"/>
        <w:jc w:val="both"/>
        <w:rPr>
          <w:rFonts w:ascii="Calibri" w:hAnsi="Calibri" w:cs="Calibri"/>
          <w:lang w:val="en-GB"/>
        </w:rPr>
      </w:pPr>
      <w:r w:rsidRPr="0089630F">
        <w:rPr>
          <w:rFonts w:ascii="Calibri" w:hAnsi="Calibri" w:cs="Calibri"/>
          <w:lang w:val="en-GB"/>
        </w:rPr>
        <w:t>What deliverables would bring the greatest reduction in disaster risk and the greatest increase in the resilience of people, assets and ecosystems in the remaining period of the Sendai Framework and beyond 2030?</w:t>
      </w:r>
    </w:p>
    <w:p w14:paraId="279CAA20" w14:textId="77777777" w:rsidR="004B444A" w:rsidRPr="0089630F" w:rsidRDefault="004B444A" w:rsidP="004B444A">
      <w:pPr>
        <w:pStyle w:val="Heading3"/>
        <w:spacing w:before="240" w:after="120"/>
        <w:rPr>
          <w:color w:val="C00000"/>
        </w:rPr>
      </w:pPr>
      <w:r w:rsidRPr="0089630F">
        <w:rPr>
          <w:color w:val="C00000"/>
        </w:rPr>
        <w:lastRenderedPageBreak/>
        <w:t>Expected Outcome</w:t>
      </w:r>
    </w:p>
    <w:p w14:paraId="403751CF" w14:textId="77777777" w:rsidR="004B444A" w:rsidRPr="0089630F" w:rsidRDefault="004B444A" w:rsidP="000C1DDE">
      <w:pPr>
        <w:pStyle w:val="ListParagraph"/>
        <w:numPr>
          <w:ilvl w:val="2"/>
          <w:numId w:val="4"/>
        </w:numPr>
        <w:spacing w:before="120" w:after="120"/>
        <w:ind w:left="426" w:hanging="425"/>
        <w:contextualSpacing w:val="0"/>
        <w:jc w:val="both"/>
        <w:rPr>
          <w:rFonts w:ascii="Calibri" w:hAnsi="Calibri" w:cs="Calibri"/>
          <w:lang w:val="en-GB"/>
        </w:rPr>
      </w:pPr>
      <w:r w:rsidRPr="0089630F">
        <w:rPr>
          <w:lang w:val="en-GB"/>
        </w:rPr>
        <w:t>Has</w:t>
      </w:r>
      <w:r w:rsidRPr="0089630F">
        <w:rPr>
          <w:rFonts w:ascii="Calibri" w:hAnsi="Calibri" w:cs="Calibri"/>
          <w:lang w:val="en-GB"/>
        </w:rPr>
        <w:t xml:space="preserve"> there been a reduction of disaster risk and the impacts of natural- and man-made hazards on persons, businesses, communities, countries and ecosystems, as a result of actions </w:t>
      </w:r>
      <w:proofErr w:type="gramStart"/>
      <w:r w:rsidRPr="0089630F">
        <w:rPr>
          <w:rFonts w:ascii="Calibri" w:hAnsi="Calibri" w:cs="Calibri"/>
          <w:lang w:val="en-GB"/>
        </w:rPr>
        <w:t>taken</w:t>
      </w:r>
      <w:proofErr w:type="gramEnd"/>
      <w:r w:rsidRPr="0089630F">
        <w:rPr>
          <w:rFonts w:ascii="Calibri" w:hAnsi="Calibri" w:cs="Calibri"/>
          <w:lang w:val="en-GB"/>
        </w:rPr>
        <w:t xml:space="preserve"> and approaches adopted in implementing the Sendai Framework since 2015? </w:t>
      </w:r>
    </w:p>
    <w:p w14:paraId="254A5748" w14:textId="77777777" w:rsidR="004B444A" w:rsidRPr="0089630F" w:rsidRDefault="004B444A" w:rsidP="000C1DDE">
      <w:pPr>
        <w:pStyle w:val="ListParagraph"/>
        <w:numPr>
          <w:ilvl w:val="2"/>
          <w:numId w:val="4"/>
        </w:numPr>
        <w:spacing w:before="240" w:after="120"/>
        <w:ind w:left="426" w:hanging="425"/>
        <w:contextualSpacing w:val="0"/>
        <w:jc w:val="both"/>
        <w:rPr>
          <w:rFonts w:ascii="Calibri" w:hAnsi="Calibri" w:cs="Calibri"/>
          <w:lang w:val="en-GB"/>
        </w:rPr>
      </w:pPr>
      <w:r w:rsidRPr="0089630F">
        <w:rPr>
          <w:rFonts w:ascii="Calibri" w:hAnsi="Calibri" w:cs="Calibri"/>
          <w:lang w:val="en-GB"/>
        </w:rPr>
        <w:t>What is the trend for the achievement of the expected outcome of the Sendai Framework for the period to 2030?</w:t>
      </w:r>
    </w:p>
    <w:p w14:paraId="300319E8" w14:textId="77777777" w:rsidR="004B444A" w:rsidRPr="0089630F" w:rsidRDefault="004B444A" w:rsidP="000C1DDE">
      <w:pPr>
        <w:pStyle w:val="ListParagraph"/>
        <w:numPr>
          <w:ilvl w:val="2"/>
          <w:numId w:val="4"/>
        </w:numPr>
        <w:spacing w:before="240" w:after="120"/>
        <w:ind w:left="426" w:hanging="425"/>
        <w:contextualSpacing w:val="0"/>
        <w:jc w:val="both"/>
        <w:rPr>
          <w:rFonts w:ascii="Calibri" w:hAnsi="Calibri" w:cs="Calibri"/>
          <w:lang w:val="en-GB"/>
        </w:rPr>
      </w:pPr>
      <w:r w:rsidRPr="0089630F">
        <w:rPr>
          <w:rFonts w:ascii="Calibri" w:hAnsi="Calibri" w:cs="Calibri"/>
          <w:lang w:val="en-GB"/>
        </w:rPr>
        <w:t>In respect of people and assets in your country, business, community or organisation, what progress has been made in: reducing exposure to hazards? Reducing their vulnerability and augmenting their capacity for risk reduction? Where relevant how have hazard, vulnerability or exposure characteristics been modified / their threat reduced (</w:t>
      </w:r>
      <w:proofErr w:type="gramStart"/>
      <w:r w:rsidRPr="0089630F">
        <w:rPr>
          <w:rFonts w:ascii="Calibri" w:hAnsi="Calibri" w:cs="Calibri"/>
          <w:lang w:val="en-GB"/>
        </w:rPr>
        <w:t>e.g.</w:t>
      </w:r>
      <w:proofErr w:type="gramEnd"/>
      <w:r w:rsidRPr="0089630F">
        <w:rPr>
          <w:rFonts w:ascii="Calibri" w:hAnsi="Calibri" w:cs="Calibri"/>
          <w:lang w:val="en-GB"/>
        </w:rPr>
        <w:t xml:space="preserve"> man-made hazards)?</w:t>
      </w:r>
    </w:p>
    <w:p w14:paraId="0205AE54" w14:textId="77777777" w:rsidR="004B444A" w:rsidRPr="0089630F" w:rsidRDefault="004B444A" w:rsidP="004B444A">
      <w:pPr>
        <w:pStyle w:val="Heading3"/>
        <w:spacing w:before="240" w:after="120"/>
        <w:rPr>
          <w:color w:val="C00000"/>
        </w:rPr>
      </w:pPr>
      <w:r w:rsidRPr="0089630F">
        <w:rPr>
          <w:color w:val="C00000"/>
        </w:rPr>
        <w:t>Goal</w:t>
      </w:r>
    </w:p>
    <w:p w14:paraId="2EFD8636" w14:textId="77777777" w:rsidR="004B444A" w:rsidRPr="0089630F" w:rsidRDefault="004B444A" w:rsidP="000C1DDE">
      <w:pPr>
        <w:pStyle w:val="ListParagraph"/>
        <w:numPr>
          <w:ilvl w:val="2"/>
          <w:numId w:val="4"/>
        </w:numPr>
        <w:spacing w:before="120" w:after="120"/>
        <w:ind w:left="426" w:hanging="425"/>
        <w:contextualSpacing w:val="0"/>
        <w:jc w:val="both"/>
        <w:rPr>
          <w:lang w:val="en-GB"/>
        </w:rPr>
      </w:pPr>
      <w:r w:rsidRPr="0089630F">
        <w:rPr>
          <w:lang w:val="en-GB"/>
        </w:rPr>
        <w:t xml:space="preserve">What do governments and other stakeholders consider </w:t>
      </w:r>
      <w:proofErr w:type="gramStart"/>
      <w:r w:rsidRPr="0089630F">
        <w:rPr>
          <w:lang w:val="en-GB"/>
        </w:rPr>
        <w:t>to have</w:t>
      </w:r>
      <w:proofErr w:type="gramEnd"/>
      <w:r w:rsidRPr="0089630F">
        <w:rPr>
          <w:lang w:val="en-GB"/>
        </w:rPr>
        <w:t xml:space="preserve"> been the major achievements, challenges and lessons identified in: preventing the creation of new risk? reducing the existing stock of risk? strengthening resilience?</w:t>
      </w:r>
    </w:p>
    <w:p w14:paraId="4F129A37" w14:textId="77777777" w:rsidR="004B444A" w:rsidRPr="0089630F" w:rsidRDefault="004B444A" w:rsidP="000C1DDE">
      <w:pPr>
        <w:pStyle w:val="ListParagraph"/>
        <w:numPr>
          <w:ilvl w:val="2"/>
          <w:numId w:val="4"/>
        </w:numPr>
        <w:spacing w:before="240" w:after="120"/>
        <w:ind w:left="426" w:hanging="425"/>
        <w:contextualSpacing w:val="0"/>
        <w:jc w:val="both"/>
        <w:rPr>
          <w:rFonts w:ascii="Calibri" w:hAnsi="Calibri" w:cs="Calibri"/>
          <w:lang w:val="en-GB"/>
        </w:rPr>
      </w:pPr>
      <w:r w:rsidRPr="0089630F">
        <w:rPr>
          <w:rFonts w:ascii="Calibri" w:hAnsi="Calibri" w:cs="Calibri"/>
          <w:lang w:val="en-GB"/>
        </w:rPr>
        <w:t>What are the prospects for the achievement of the goal of the Sendai Framework by 2030 based on progress since 2015 and expectations for the period 2023 to 2030?</w:t>
      </w:r>
    </w:p>
    <w:p w14:paraId="17B2FD3C" w14:textId="77777777" w:rsidR="004B444A" w:rsidRPr="0089630F" w:rsidRDefault="004B444A" w:rsidP="004B444A">
      <w:pPr>
        <w:pStyle w:val="Heading3"/>
        <w:spacing w:before="240" w:after="120"/>
        <w:rPr>
          <w:color w:val="C00000"/>
        </w:rPr>
      </w:pPr>
      <w:r w:rsidRPr="0089630F">
        <w:rPr>
          <w:color w:val="C00000"/>
        </w:rPr>
        <w:t>Global Targets</w:t>
      </w:r>
    </w:p>
    <w:p w14:paraId="48A9A4B0" w14:textId="77777777" w:rsidR="004B444A" w:rsidRPr="0089630F" w:rsidRDefault="004B444A" w:rsidP="000C1DDE">
      <w:pPr>
        <w:pStyle w:val="ListParagraph"/>
        <w:numPr>
          <w:ilvl w:val="2"/>
          <w:numId w:val="4"/>
        </w:numPr>
        <w:spacing w:before="120" w:after="120"/>
        <w:ind w:left="426" w:hanging="425"/>
        <w:contextualSpacing w:val="0"/>
        <w:jc w:val="both"/>
        <w:rPr>
          <w:lang w:val="en-GB"/>
        </w:rPr>
      </w:pPr>
      <w:r w:rsidRPr="0089630F">
        <w:rPr>
          <w:lang w:val="en-GB"/>
        </w:rPr>
        <w:t xml:space="preserve">How have quantitative targets supported efforts to realise the goal and outcome of the Sendai Framework? </w:t>
      </w:r>
    </w:p>
    <w:p w14:paraId="2F1FCF20" w14:textId="77777777" w:rsidR="004B444A" w:rsidRPr="0089630F" w:rsidRDefault="004B444A" w:rsidP="000C1DDE">
      <w:pPr>
        <w:pStyle w:val="ListParagraph"/>
        <w:numPr>
          <w:ilvl w:val="2"/>
          <w:numId w:val="4"/>
        </w:numPr>
        <w:spacing w:before="120" w:after="120"/>
        <w:ind w:left="426" w:hanging="425"/>
        <w:contextualSpacing w:val="0"/>
        <w:jc w:val="both"/>
        <w:rPr>
          <w:lang w:val="en-GB"/>
        </w:rPr>
      </w:pPr>
      <w:r w:rsidRPr="0089630F">
        <w:rPr>
          <w:lang w:val="en-GB"/>
        </w:rPr>
        <w:t xml:space="preserve">What have been your experiences and issues with reporting on the Global Targets, using the internationally agreed indicators? </w:t>
      </w:r>
    </w:p>
    <w:p w14:paraId="7259DAA2" w14:textId="77777777" w:rsidR="004B444A" w:rsidRPr="0089630F" w:rsidRDefault="004B444A" w:rsidP="000C1DDE">
      <w:pPr>
        <w:pStyle w:val="ListParagraph"/>
        <w:numPr>
          <w:ilvl w:val="2"/>
          <w:numId w:val="4"/>
        </w:numPr>
        <w:spacing w:before="120" w:after="120"/>
        <w:ind w:left="426" w:hanging="425"/>
        <w:contextualSpacing w:val="0"/>
        <w:jc w:val="both"/>
        <w:rPr>
          <w:lang w:val="en-GB"/>
        </w:rPr>
      </w:pPr>
      <w:r w:rsidRPr="0089630F">
        <w:rPr>
          <w:lang w:val="en-GB"/>
        </w:rPr>
        <w:t xml:space="preserve">How important has the establishment of national and local disaster risk reduction strategies and plans of action been to the realisation of the other targets, goal and expected outcome of the Sendai Framework? If yes, have these proved useful, and if not, why not? Have national custom indicators been established? And how </w:t>
      </w:r>
      <w:r w:rsidRPr="0089630F">
        <w:rPr>
          <w:color w:val="000000"/>
          <w:lang w:val="en-GB" w:eastAsia="en-GB"/>
        </w:rPr>
        <w:t>are national and local strategies being integrated within plans and actions supporting the realization of the goals and targets of the 2030 Agenda for Sustainable Development and the Paris Agreement?</w:t>
      </w:r>
    </w:p>
    <w:p w14:paraId="7C257B26" w14:textId="77777777" w:rsidR="004B444A" w:rsidRPr="0089630F" w:rsidRDefault="004B444A" w:rsidP="004B444A">
      <w:pPr>
        <w:pStyle w:val="Heading3"/>
        <w:spacing w:before="240" w:after="120"/>
        <w:rPr>
          <w:color w:val="C00000"/>
        </w:rPr>
      </w:pPr>
      <w:r w:rsidRPr="0089630F">
        <w:rPr>
          <w:color w:val="C00000"/>
        </w:rPr>
        <w:t>Application of the Guiding Principles</w:t>
      </w:r>
    </w:p>
    <w:p w14:paraId="44F25C36" w14:textId="77777777" w:rsidR="004B444A" w:rsidRPr="0089630F" w:rsidRDefault="004B444A" w:rsidP="000C1DDE">
      <w:pPr>
        <w:pStyle w:val="ListParagraph"/>
        <w:numPr>
          <w:ilvl w:val="2"/>
          <w:numId w:val="4"/>
        </w:numPr>
        <w:spacing w:before="120" w:after="120"/>
        <w:ind w:left="426" w:hanging="425"/>
        <w:contextualSpacing w:val="0"/>
        <w:jc w:val="both"/>
        <w:rPr>
          <w:lang w:val="en-GB"/>
        </w:rPr>
      </w:pPr>
      <w:r w:rsidRPr="0089630F">
        <w:rPr>
          <w:lang w:val="en-GB"/>
        </w:rPr>
        <w:t>How has national and/or regional public policy, legislation, planning and organisation changed to align with the Sendai Framework? How must it change in the period to 2030?</w:t>
      </w:r>
    </w:p>
    <w:p w14:paraId="20C863C1" w14:textId="77777777" w:rsidR="004B444A" w:rsidRPr="0089630F" w:rsidRDefault="004B444A" w:rsidP="000C1DDE">
      <w:pPr>
        <w:pStyle w:val="ListParagraph"/>
        <w:numPr>
          <w:ilvl w:val="2"/>
          <w:numId w:val="4"/>
        </w:numPr>
        <w:spacing w:before="120" w:after="120"/>
        <w:ind w:left="426" w:hanging="425"/>
        <w:contextualSpacing w:val="0"/>
        <w:jc w:val="both"/>
        <w:rPr>
          <w:lang w:val="en-GB"/>
        </w:rPr>
      </w:pPr>
      <w:r w:rsidRPr="0089630F">
        <w:rPr>
          <w:lang w:val="en-GB"/>
        </w:rPr>
        <w:t>How has the principle of shared responsibility between central and local authorities, sectors and stakeholders been applied? What measures have countries taken to enable integrated management of disaster risk across institutions, sectors, the private sector and other stakeholders?</w:t>
      </w:r>
    </w:p>
    <w:p w14:paraId="42A79850" w14:textId="77777777" w:rsidR="004B444A" w:rsidRPr="0089630F" w:rsidRDefault="004B444A" w:rsidP="000C1DDE">
      <w:pPr>
        <w:pStyle w:val="ListParagraph"/>
        <w:numPr>
          <w:ilvl w:val="2"/>
          <w:numId w:val="4"/>
        </w:numPr>
        <w:spacing w:before="120" w:after="120"/>
        <w:ind w:left="426" w:hanging="425"/>
        <w:contextualSpacing w:val="0"/>
        <w:jc w:val="both"/>
        <w:rPr>
          <w:lang w:val="en-GB"/>
        </w:rPr>
      </w:pPr>
      <w:r w:rsidRPr="0089630F">
        <w:rPr>
          <w:lang w:val="en-GB"/>
        </w:rPr>
        <w:t xml:space="preserve">What enabling measures </w:t>
      </w:r>
      <w:proofErr w:type="gramStart"/>
      <w:r w:rsidRPr="0089630F">
        <w:rPr>
          <w:lang w:val="en-GB"/>
        </w:rPr>
        <w:t>have</w:t>
      </w:r>
      <w:proofErr w:type="gramEnd"/>
      <w:r w:rsidRPr="0089630F">
        <w:rPr>
          <w:lang w:val="en-GB"/>
        </w:rPr>
        <w:t xml:space="preserve"> been implemented to integrate disaster risk reduction and management with actions addressing climate change, sustainable development, biodiversity, and other relevant domains?</w:t>
      </w:r>
    </w:p>
    <w:p w14:paraId="328B0D8E" w14:textId="77777777" w:rsidR="004B444A" w:rsidRPr="0089630F" w:rsidRDefault="004B444A" w:rsidP="004B444A">
      <w:pPr>
        <w:pStyle w:val="Heading3"/>
        <w:spacing w:before="240" w:after="80"/>
        <w:rPr>
          <w:color w:val="C00000"/>
        </w:rPr>
      </w:pPr>
      <w:r w:rsidRPr="0089630F">
        <w:rPr>
          <w:color w:val="C00000"/>
        </w:rPr>
        <w:lastRenderedPageBreak/>
        <w:t>Priorities for Action</w:t>
      </w:r>
    </w:p>
    <w:p w14:paraId="1B93C7EC" w14:textId="77777777" w:rsidR="004B444A" w:rsidRPr="0089630F" w:rsidRDefault="004B444A" w:rsidP="000C1DDE">
      <w:pPr>
        <w:pStyle w:val="ListParagraph"/>
        <w:numPr>
          <w:ilvl w:val="2"/>
          <w:numId w:val="4"/>
        </w:numPr>
        <w:spacing w:before="80" w:after="120"/>
        <w:ind w:left="426" w:hanging="425"/>
        <w:contextualSpacing w:val="0"/>
        <w:jc w:val="both"/>
        <w:rPr>
          <w:lang w:val="en-GB"/>
        </w:rPr>
      </w:pPr>
      <w:r w:rsidRPr="0089630F">
        <w:rPr>
          <w:lang w:val="en-GB"/>
        </w:rPr>
        <w:t>Since the adoption of the Sendai Framework, to what degree has understanding disaster risks, their root causes and their incorporation in public and private decision making and investment become a ‘due diligence’ requirement by law?</w:t>
      </w:r>
    </w:p>
    <w:p w14:paraId="0F695937" w14:textId="77777777" w:rsidR="004B444A" w:rsidRPr="0089630F" w:rsidRDefault="004B444A" w:rsidP="000C1DDE">
      <w:pPr>
        <w:pStyle w:val="ListParagraph"/>
        <w:numPr>
          <w:ilvl w:val="2"/>
          <w:numId w:val="4"/>
        </w:numPr>
        <w:spacing w:before="120" w:after="120"/>
        <w:ind w:left="426" w:hanging="425"/>
        <w:contextualSpacing w:val="0"/>
        <w:jc w:val="both"/>
        <w:rPr>
          <w:lang w:val="en-GB"/>
        </w:rPr>
      </w:pPr>
      <w:r w:rsidRPr="0089630F">
        <w:rPr>
          <w:rFonts w:cstheme="minorHAnsi"/>
          <w:lang w:val="en-GB"/>
        </w:rPr>
        <w:t>What progress has been made in approaches to pre-disaster risk assessment – for disaster risk prevention and mitigation, as well as for the development and implementation of appropriate preparedness and effective responses to disasters – that consider disaster risk in all its dimensions of vulnerability, capacity, exposure of persons and assets, hazard characteristics and the environment?</w:t>
      </w:r>
    </w:p>
    <w:p w14:paraId="57905A76" w14:textId="77777777" w:rsidR="004B444A" w:rsidRPr="0089630F" w:rsidRDefault="004B444A" w:rsidP="000C1DDE">
      <w:pPr>
        <w:pStyle w:val="ListParagraph"/>
        <w:numPr>
          <w:ilvl w:val="2"/>
          <w:numId w:val="4"/>
        </w:numPr>
        <w:spacing w:before="120" w:after="120"/>
        <w:ind w:left="426" w:hanging="425"/>
        <w:contextualSpacing w:val="0"/>
        <w:jc w:val="both"/>
        <w:rPr>
          <w:lang w:val="en-GB"/>
        </w:rPr>
      </w:pPr>
      <w:r w:rsidRPr="0089630F">
        <w:rPr>
          <w:lang w:val="en-GB"/>
        </w:rPr>
        <w:t xml:space="preserve">What do governments and other stakeholders consider </w:t>
      </w:r>
      <w:proofErr w:type="gramStart"/>
      <w:r w:rsidRPr="0089630F">
        <w:rPr>
          <w:lang w:val="en-GB"/>
        </w:rPr>
        <w:t>to have</w:t>
      </w:r>
      <w:proofErr w:type="gramEnd"/>
      <w:r w:rsidRPr="0089630F">
        <w:rPr>
          <w:lang w:val="en-GB"/>
        </w:rPr>
        <w:t xml:space="preserve"> been the major achievements, challenges and lessons identified since 2015 in developing disaster risk governance mechanisms and approaches?</w:t>
      </w:r>
    </w:p>
    <w:p w14:paraId="57EB45A5" w14:textId="77777777" w:rsidR="004B444A" w:rsidRPr="0089630F" w:rsidRDefault="004B444A" w:rsidP="000C1DDE">
      <w:pPr>
        <w:pStyle w:val="ListParagraph"/>
        <w:numPr>
          <w:ilvl w:val="2"/>
          <w:numId w:val="4"/>
        </w:numPr>
        <w:spacing w:before="120" w:after="120"/>
        <w:ind w:left="426" w:hanging="425"/>
        <w:contextualSpacing w:val="0"/>
        <w:jc w:val="both"/>
        <w:rPr>
          <w:lang w:val="en-GB"/>
        </w:rPr>
      </w:pPr>
      <w:r w:rsidRPr="0089630F">
        <w:rPr>
          <w:lang w:val="en-GB"/>
        </w:rPr>
        <w:t>Given the systemic nature of risk, and experiences of the ongoing COVID-19 pandemic (including cascading, indirect impacts), what adjustments are required to existing disaster risk governance and management approaches at the national and local, international and regional levels?</w:t>
      </w:r>
    </w:p>
    <w:p w14:paraId="77DBB08B" w14:textId="77777777" w:rsidR="004B444A" w:rsidRPr="0089630F" w:rsidRDefault="004B444A" w:rsidP="000C1DDE">
      <w:pPr>
        <w:pStyle w:val="ListParagraph"/>
        <w:numPr>
          <w:ilvl w:val="2"/>
          <w:numId w:val="4"/>
        </w:numPr>
        <w:spacing w:before="120" w:after="120"/>
        <w:ind w:left="426" w:hanging="425"/>
        <w:contextualSpacing w:val="0"/>
        <w:jc w:val="both"/>
        <w:rPr>
          <w:lang w:val="en-GB"/>
        </w:rPr>
      </w:pPr>
      <w:r w:rsidRPr="0089630F">
        <w:rPr>
          <w:lang w:val="en-GB"/>
        </w:rPr>
        <w:t>Have increases been observed in investments in resilience since 2015, are investments by public and private sectors increasingly risk-informed, and if yes, by what measures? Are disaster risk reduction considerations and measures integrated in financial and fiscal instruments? Has there been an increase in guidance for risk-informed public and private investment?</w:t>
      </w:r>
    </w:p>
    <w:p w14:paraId="4210AA06" w14:textId="77777777" w:rsidR="004B444A" w:rsidRPr="0089630F" w:rsidRDefault="004B444A" w:rsidP="000C1DDE">
      <w:pPr>
        <w:pStyle w:val="ListParagraph"/>
        <w:numPr>
          <w:ilvl w:val="2"/>
          <w:numId w:val="4"/>
        </w:numPr>
        <w:spacing w:before="120" w:after="120"/>
        <w:ind w:left="426" w:hanging="425"/>
        <w:contextualSpacing w:val="0"/>
        <w:jc w:val="both"/>
        <w:rPr>
          <w:lang w:val="en-GB"/>
        </w:rPr>
      </w:pPr>
      <w:r w:rsidRPr="0089630F">
        <w:rPr>
          <w:lang w:val="en-GB"/>
        </w:rPr>
        <w:t>How has the resilience of business and industry sectors to disaster risk, including from natural and man-made hazards, evolved since 2015? What further actions are required through to 2030?</w:t>
      </w:r>
    </w:p>
    <w:p w14:paraId="145786D1" w14:textId="7D11EF0F" w:rsidR="004B444A" w:rsidRPr="0089630F" w:rsidRDefault="004B444A" w:rsidP="000C1DDE">
      <w:pPr>
        <w:pStyle w:val="ListParagraph"/>
        <w:numPr>
          <w:ilvl w:val="2"/>
          <w:numId w:val="4"/>
        </w:numPr>
        <w:spacing w:before="120" w:after="120"/>
        <w:ind w:left="426" w:hanging="425"/>
        <w:contextualSpacing w:val="0"/>
        <w:jc w:val="both"/>
        <w:rPr>
          <w:lang w:val="en-GB"/>
        </w:rPr>
      </w:pPr>
      <w:r w:rsidRPr="0089630F">
        <w:rPr>
          <w:lang w:val="en-GB"/>
        </w:rPr>
        <w:t>How has preparedness for response</w:t>
      </w:r>
      <w:r w:rsidRPr="0089630F">
        <w:rPr>
          <w:rFonts w:ascii="ZWAdobeF" w:hAnsi="ZWAdobeF" w:cs="ZWAdobeF"/>
          <w:sz w:val="2"/>
          <w:szCs w:val="2"/>
          <w:lang w:val="en-GB"/>
        </w:rPr>
        <w:t>19F</w:t>
      </w:r>
      <w:r w:rsidR="000C1DDE">
        <w:rPr>
          <w:rFonts w:ascii="ZWAdobeF" w:hAnsi="ZWAdobeF" w:cs="ZWAdobeF"/>
          <w:sz w:val="2"/>
          <w:szCs w:val="2"/>
          <w:lang w:val="en-GB"/>
        </w:rPr>
        <w:t>32F</w:t>
      </w:r>
      <w:r w:rsidRPr="0089630F">
        <w:rPr>
          <w:rStyle w:val="FootnoteReference"/>
          <w:lang w:val="en-GB"/>
        </w:rPr>
        <w:footnoteReference w:id="33"/>
      </w:r>
      <w:r w:rsidRPr="0089630F">
        <w:rPr>
          <w:lang w:val="en-GB"/>
        </w:rPr>
        <w:t>, as well as preparedness for recovery, rehabilitation and recovery, improved or deteriorated since adoption of the Sendai Framework? And how has this manifested in terms of “Build Back Better”?</w:t>
      </w:r>
    </w:p>
    <w:p w14:paraId="7CDBC335" w14:textId="77777777" w:rsidR="004B444A" w:rsidRPr="0089630F" w:rsidRDefault="004B444A" w:rsidP="004B444A">
      <w:pPr>
        <w:pStyle w:val="Heading3"/>
        <w:spacing w:before="240" w:after="80"/>
        <w:rPr>
          <w:color w:val="C00000"/>
        </w:rPr>
      </w:pPr>
      <w:r w:rsidRPr="0089630F">
        <w:rPr>
          <w:color w:val="C00000"/>
        </w:rPr>
        <w:t>Stakeholders – Integrated, inclusive multi-stakeholder engagement, action and partnership</w:t>
      </w:r>
    </w:p>
    <w:p w14:paraId="15DCCCCE" w14:textId="77777777" w:rsidR="004B444A" w:rsidRPr="0089630F" w:rsidRDefault="004B444A" w:rsidP="000C1DDE">
      <w:pPr>
        <w:pStyle w:val="ListParagraph"/>
        <w:numPr>
          <w:ilvl w:val="2"/>
          <w:numId w:val="4"/>
        </w:numPr>
        <w:spacing w:before="80" w:after="120"/>
        <w:ind w:left="426" w:hanging="425"/>
        <w:contextualSpacing w:val="0"/>
        <w:jc w:val="both"/>
        <w:rPr>
          <w:lang w:val="en-GB"/>
        </w:rPr>
      </w:pPr>
      <w:r w:rsidRPr="0089630F">
        <w:rPr>
          <w:lang w:val="en-GB"/>
        </w:rPr>
        <w:t>What partnerships and initiatives have proved most successful? How and why?</w:t>
      </w:r>
    </w:p>
    <w:p w14:paraId="52A9BAC0" w14:textId="77777777" w:rsidR="004B444A" w:rsidRPr="0089630F" w:rsidRDefault="004B444A" w:rsidP="000C1DDE">
      <w:pPr>
        <w:pStyle w:val="ListParagraph"/>
        <w:numPr>
          <w:ilvl w:val="2"/>
          <w:numId w:val="4"/>
        </w:numPr>
        <w:spacing w:before="120" w:after="120"/>
        <w:ind w:left="426" w:hanging="425"/>
        <w:contextualSpacing w:val="0"/>
        <w:jc w:val="both"/>
        <w:rPr>
          <w:lang w:val="en-GB"/>
        </w:rPr>
      </w:pPr>
      <w:r w:rsidRPr="0089630F">
        <w:rPr>
          <w:lang w:val="en-GB"/>
        </w:rPr>
        <w:t>To what extent is the Sendai Framework known and being applied at sub-national and local levels?</w:t>
      </w:r>
    </w:p>
    <w:p w14:paraId="546E2F44" w14:textId="77777777" w:rsidR="004B444A" w:rsidRPr="0089630F" w:rsidRDefault="004B444A" w:rsidP="004B444A">
      <w:pPr>
        <w:pStyle w:val="Heading3"/>
        <w:spacing w:before="240" w:after="80"/>
        <w:rPr>
          <w:color w:val="C00000"/>
        </w:rPr>
      </w:pPr>
      <w:r w:rsidRPr="0089630F">
        <w:rPr>
          <w:color w:val="C00000"/>
        </w:rPr>
        <w:t>International cooperation and global partnership</w:t>
      </w:r>
    </w:p>
    <w:p w14:paraId="2218238A" w14:textId="77777777" w:rsidR="004B444A" w:rsidRPr="0089630F" w:rsidRDefault="004B444A" w:rsidP="000C1DDE">
      <w:pPr>
        <w:pStyle w:val="ListParagraph"/>
        <w:numPr>
          <w:ilvl w:val="2"/>
          <w:numId w:val="4"/>
        </w:numPr>
        <w:spacing w:before="80" w:after="120"/>
        <w:ind w:left="426" w:hanging="425"/>
        <w:contextualSpacing w:val="0"/>
        <w:jc w:val="both"/>
        <w:rPr>
          <w:lang w:val="en-GB"/>
        </w:rPr>
      </w:pPr>
      <w:r w:rsidRPr="0089630F">
        <w:rPr>
          <w:lang w:val="en-GB"/>
        </w:rPr>
        <w:t>How has cooperation and collaboration in risk reduction across mechanisms and institutions in the implementation of relevant international instruments evolved since the adoption of the Sendai Framework?</w:t>
      </w:r>
    </w:p>
    <w:p w14:paraId="131824D3" w14:textId="77777777" w:rsidR="004B444A" w:rsidRPr="0089630F" w:rsidRDefault="004B444A" w:rsidP="000C1DDE">
      <w:pPr>
        <w:pStyle w:val="ListParagraph"/>
        <w:numPr>
          <w:ilvl w:val="2"/>
          <w:numId w:val="4"/>
        </w:numPr>
        <w:spacing w:before="120" w:after="120"/>
        <w:ind w:left="426" w:hanging="425"/>
        <w:contextualSpacing w:val="0"/>
        <w:jc w:val="both"/>
        <w:rPr>
          <w:lang w:val="en-GB"/>
        </w:rPr>
      </w:pPr>
      <w:r w:rsidRPr="0089630F">
        <w:rPr>
          <w:lang w:val="en-GB"/>
        </w:rPr>
        <w:t>How important have been regional and subregional disaster risk reduction strategies and plans in supporting national and local efforts to implement the Sendai Framework?</w:t>
      </w:r>
    </w:p>
    <w:p w14:paraId="20497544" w14:textId="77777777" w:rsidR="004B444A" w:rsidRPr="0089630F" w:rsidRDefault="004B444A" w:rsidP="000C1DDE">
      <w:pPr>
        <w:pStyle w:val="ListParagraph"/>
        <w:numPr>
          <w:ilvl w:val="2"/>
          <w:numId w:val="4"/>
        </w:numPr>
        <w:spacing w:before="120" w:after="120"/>
        <w:ind w:left="426" w:hanging="425"/>
        <w:contextualSpacing w:val="0"/>
        <w:jc w:val="both"/>
        <w:rPr>
          <w:lang w:val="en-GB"/>
        </w:rPr>
      </w:pPr>
      <w:r w:rsidRPr="0089630F">
        <w:rPr>
          <w:lang w:val="en-GB"/>
        </w:rPr>
        <w:t xml:space="preserve">What have been the trends in financial resources provided to developing countries for disaster risk reduction through international cooperation since 2015? Likewise technical cooperation, capacity building and technology transfer? Including through </w:t>
      </w:r>
      <w:r w:rsidRPr="0089630F">
        <w:rPr>
          <w:rFonts w:ascii="Calibri" w:hAnsi="Calibri" w:cs="Calibri"/>
          <w:lang w:val="en-GB"/>
        </w:rPr>
        <w:t>bilateral, multilateral, north-south, south-south, and triangular</w:t>
      </w:r>
      <w:r w:rsidRPr="0089630F">
        <w:rPr>
          <w:rFonts w:cstheme="minorHAnsi"/>
          <w:lang w:val="en-GB"/>
        </w:rPr>
        <w:t xml:space="preserve"> cooperation.</w:t>
      </w:r>
    </w:p>
    <w:p w14:paraId="3D247789" w14:textId="03A55DD5" w:rsidR="004B444A" w:rsidRPr="0089630F" w:rsidRDefault="004B444A" w:rsidP="00F45A5B">
      <w:pPr>
        <w:spacing w:before="120" w:after="0"/>
        <w:jc w:val="both"/>
        <w:rPr>
          <w:rFonts w:asciiTheme="majorHAnsi" w:eastAsiaTheme="majorEastAsia" w:hAnsiTheme="majorHAnsi" w:cstheme="majorBidi"/>
          <w:color w:val="2F5496" w:themeColor="accent1" w:themeShade="BF"/>
          <w:sz w:val="32"/>
          <w:szCs w:val="32"/>
          <w:lang w:val="en-GB"/>
        </w:rPr>
      </w:pPr>
      <w:r w:rsidRPr="0089630F">
        <w:rPr>
          <w:lang w:val="en-GB"/>
        </w:rPr>
        <w:t xml:space="preserve">The Strategic Questions are supplemented by additional guiding questions (in </w:t>
      </w:r>
      <w:r w:rsidR="00D60180" w:rsidRPr="0089630F">
        <w:rPr>
          <w:lang w:val="en-GB"/>
        </w:rPr>
        <w:t>Appendix</w:t>
      </w:r>
      <w:r w:rsidRPr="0089630F">
        <w:rPr>
          <w:lang w:val="en-GB"/>
        </w:rPr>
        <w:t xml:space="preserve"> II) that can generate further information and insight to the review.</w:t>
      </w:r>
      <w:r w:rsidRPr="0089630F">
        <w:rPr>
          <w:lang w:val="en-GB"/>
        </w:rPr>
        <w:br w:type="page"/>
      </w:r>
    </w:p>
    <w:p w14:paraId="3B0AA7B3" w14:textId="6EC094F4" w:rsidR="004B444A" w:rsidRPr="0089630F" w:rsidRDefault="00D60180" w:rsidP="004B444A">
      <w:pPr>
        <w:pStyle w:val="Heading1"/>
        <w:spacing w:after="240"/>
      </w:pPr>
      <w:r w:rsidRPr="0089630F">
        <w:lastRenderedPageBreak/>
        <w:t>Appendix</w:t>
      </w:r>
      <w:r w:rsidR="004B444A" w:rsidRPr="0089630F">
        <w:t xml:space="preserve"> II</w:t>
      </w:r>
    </w:p>
    <w:p w14:paraId="22D04B35" w14:textId="77777777" w:rsidR="004B444A" w:rsidRPr="0089630F" w:rsidRDefault="004B444A" w:rsidP="004B444A">
      <w:pPr>
        <w:pStyle w:val="Heading2"/>
      </w:pPr>
      <w:bookmarkStart w:id="4" w:name="_Hlk80109976"/>
      <w:r w:rsidRPr="0089630F">
        <w:t>Additional Guiding Questions for consultations and dialogue</w:t>
      </w:r>
      <w:bookmarkEnd w:id="4"/>
    </w:p>
    <w:p w14:paraId="2BE1E72E" w14:textId="77777777" w:rsidR="004B444A" w:rsidRPr="0089630F" w:rsidRDefault="004B444A" w:rsidP="004B444A">
      <w:pPr>
        <w:spacing w:before="240" w:after="240"/>
        <w:rPr>
          <w:lang w:val="en-GB"/>
        </w:rPr>
      </w:pPr>
      <w:r w:rsidRPr="0089630F">
        <w:rPr>
          <w:lang w:val="en-GB"/>
        </w:rPr>
        <w:t>Member States and stakeholders may also wish to include the following additional guiding questions in consultations and dialogues.</w:t>
      </w:r>
    </w:p>
    <w:p w14:paraId="146E88A9" w14:textId="77777777" w:rsidR="004B444A" w:rsidRPr="0089630F" w:rsidRDefault="004B444A" w:rsidP="004B444A">
      <w:pPr>
        <w:pStyle w:val="Heading3"/>
        <w:spacing w:before="240" w:after="120"/>
        <w:rPr>
          <w:color w:val="C00000"/>
        </w:rPr>
      </w:pPr>
      <w:r w:rsidRPr="0089630F">
        <w:rPr>
          <w:color w:val="C00000"/>
        </w:rPr>
        <w:t>Progress, Achievements, Gaps and Challenges</w:t>
      </w:r>
    </w:p>
    <w:p w14:paraId="6F7D70AA" w14:textId="77777777" w:rsidR="004B444A" w:rsidRPr="0089630F" w:rsidRDefault="004B444A" w:rsidP="004B444A">
      <w:pPr>
        <w:spacing w:after="120"/>
        <w:jc w:val="both"/>
        <w:rPr>
          <w:rFonts w:ascii="Calibri" w:hAnsi="Calibri" w:cs="Calibri"/>
          <w:i/>
          <w:iCs/>
          <w:lang w:val="en-GB"/>
        </w:rPr>
      </w:pPr>
      <w:r w:rsidRPr="0089630F">
        <w:rPr>
          <w:rFonts w:ascii="Calibri" w:hAnsi="Calibri" w:cs="Calibri"/>
          <w:i/>
          <w:iCs/>
          <w:lang w:val="en-GB"/>
        </w:rPr>
        <w:t>General:</w:t>
      </w:r>
    </w:p>
    <w:p w14:paraId="3A582F95" w14:textId="77777777" w:rsidR="004B444A" w:rsidRPr="0089630F" w:rsidRDefault="004B444A" w:rsidP="000C1DDE">
      <w:pPr>
        <w:pStyle w:val="ListParagraph"/>
        <w:numPr>
          <w:ilvl w:val="0"/>
          <w:numId w:val="36"/>
        </w:numPr>
        <w:spacing w:before="120" w:after="120"/>
        <w:ind w:left="714" w:hanging="357"/>
        <w:contextualSpacing w:val="0"/>
        <w:jc w:val="both"/>
        <w:rPr>
          <w:rFonts w:cstheme="minorHAnsi"/>
          <w:lang w:val="en-GB"/>
        </w:rPr>
      </w:pPr>
      <w:r w:rsidRPr="0089630F">
        <w:rPr>
          <w:lang w:val="en-GB"/>
        </w:rPr>
        <w:t xml:space="preserve">What do Governments and other stakeholders consider </w:t>
      </w:r>
      <w:proofErr w:type="gramStart"/>
      <w:r w:rsidRPr="0089630F">
        <w:rPr>
          <w:lang w:val="en-GB"/>
        </w:rPr>
        <w:t>to have</w:t>
      </w:r>
      <w:proofErr w:type="gramEnd"/>
      <w:r w:rsidRPr="0089630F">
        <w:rPr>
          <w:lang w:val="en-GB"/>
        </w:rPr>
        <w:t xml:space="preserve"> been the greatest advances to date in implementing the Sendai Framework? </w:t>
      </w:r>
      <w:r w:rsidRPr="0089630F">
        <w:rPr>
          <w:rFonts w:cstheme="minorHAnsi"/>
          <w:bdr w:val="none" w:sz="0" w:space="0" w:color="auto" w:frame="1"/>
          <w:lang w:val="en-GB"/>
        </w:rPr>
        <w:t>What are the principal reasons for progress made?</w:t>
      </w:r>
      <w:r w:rsidRPr="0089630F">
        <w:rPr>
          <w:rFonts w:cstheme="minorHAnsi"/>
          <w:lang w:val="en-GB"/>
        </w:rPr>
        <w:t> </w:t>
      </w:r>
      <w:r w:rsidRPr="0089630F">
        <w:rPr>
          <w:lang w:val="en-GB"/>
        </w:rPr>
        <w:t>For instance, what structures, policies or processes have proved the primary enablers of progress?</w:t>
      </w:r>
    </w:p>
    <w:p w14:paraId="64262A7D" w14:textId="77777777" w:rsidR="004B444A" w:rsidRPr="0089630F" w:rsidRDefault="004B444A" w:rsidP="000C1DDE">
      <w:pPr>
        <w:pStyle w:val="ListParagraph"/>
        <w:numPr>
          <w:ilvl w:val="0"/>
          <w:numId w:val="36"/>
        </w:numPr>
        <w:spacing w:before="120" w:after="120"/>
        <w:ind w:left="714" w:hanging="357"/>
        <w:contextualSpacing w:val="0"/>
        <w:jc w:val="both"/>
        <w:rPr>
          <w:rFonts w:cstheme="minorHAnsi"/>
          <w:lang w:val="en-GB"/>
        </w:rPr>
      </w:pPr>
      <w:r w:rsidRPr="0089630F">
        <w:rPr>
          <w:rFonts w:cstheme="minorHAnsi"/>
          <w:bdr w:val="none" w:sz="0" w:space="0" w:color="auto" w:frame="1"/>
          <w:lang w:val="en-GB"/>
        </w:rPr>
        <w:t>What have been key barriers to implementation of the Sendai Framework?</w:t>
      </w:r>
      <w:r w:rsidRPr="0089630F">
        <w:rPr>
          <w:rFonts w:cstheme="minorHAnsi"/>
          <w:lang w:val="en-GB"/>
        </w:rPr>
        <w:t> </w:t>
      </w:r>
    </w:p>
    <w:p w14:paraId="2738E291" w14:textId="77777777" w:rsidR="004B444A" w:rsidRPr="0089630F" w:rsidRDefault="004B444A" w:rsidP="000C1DDE">
      <w:pPr>
        <w:pStyle w:val="ListParagraph"/>
        <w:numPr>
          <w:ilvl w:val="0"/>
          <w:numId w:val="36"/>
        </w:numPr>
        <w:spacing w:before="120" w:after="120"/>
        <w:ind w:left="714" w:hanging="357"/>
        <w:contextualSpacing w:val="0"/>
        <w:jc w:val="both"/>
        <w:rPr>
          <w:rFonts w:cstheme="minorHAnsi"/>
          <w:lang w:val="en-GB"/>
        </w:rPr>
      </w:pPr>
      <w:r w:rsidRPr="0089630F">
        <w:rPr>
          <w:rFonts w:cstheme="minorHAnsi"/>
          <w:bdr w:val="none" w:sz="0" w:space="0" w:color="auto" w:frame="1"/>
          <w:lang w:val="en-GB"/>
        </w:rPr>
        <w:t>How could your country / city / community / business / organisation / partnership / sector have been better supported in the implementation of the Sendai Framework? </w:t>
      </w:r>
      <w:r w:rsidRPr="0089630F">
        <w:rPr>
          <w:rFonts w:cstheme="minorHAnsi"/>
          <w:lang w:val="en-GB"/>
        </w:rPr>
        <w:t> </w:t>
      </w:r>
    </w:p>
    <w:p w14:paraId="4C589065" w14:textId="77777777" w:rsidR="004B444A" w:rsidRPr="0089630F" w:rsidRDefault="004B444A" w:rsidP="000C1DDE">
      <w:pPr>
        <w:pStyle w:val="ListParagraph"/>
        <w:numPr>
          <w:ilvl w:val="0"/>
          <w:numId w:val="36"/>
        </w:numPr>
        <w:spacing w:before="120" w:after="120"/>
        <w:ind w:left="714" w:hanging="357"/>
        <w:contextualSpacing w:val="0"/>
        <w:jc w:val="both"/>
        <w:rPr>
          <w:rFonts w:cstheme="minorHAnsi"/>
          <w:lang w:val="en-GB"/>
        </w:rPr>
      </w:pPr>
      <w:r w:rsidRPr="0089630F">
        <w:rPr>
          <w:rFonts w:cstheme="minorHAnsi"/>
          <w:bdr w:val="none" w:sz="0" w:space="0" w:color="auto" w:frame="1"/>
          <w:lang w:val="en-GB"/>
        </w:rPr>
        <w:t>In which areas has progress been easiest, and in what areas has it been most difficult? </w:t>
      </w:r>
      <w:r w:rsidRPr="0089630F">
        <w:rPr>
          <w:rFonts w:cstheme="minorHAnsi"/>
          <w:lang w:val="en-GB"/>
        </w:rPr>
        <w:t> </w:t>
      </w:r>
    </w:p>
    <w:p w14:paraId="7CA8439C" w14:textId="77777777" w:rsidR="004B444A" w:rsidRPr="0089630F" w:rsidRDefault="004B444A" w:rsidP="000C1DDE">
      <w:pPr>
        <w:pStyle w:val="ListParagraph"/>
        <w:numPr>
          <w:ilvl w:val="0"/>
          <w:numId w:val="36"/>
        </w:numPr>
        <w:spacing w:before="120" w:after="120"/>
        <w:ind w:left="714" w:hanging="357"/>
        <w:contextualSpacing w:val="0"/>
        <w:jc w:val="both"/>
        <w:rPr>
          <w:rFonts w:cstheme="minorHAnsi"/>
          <w:lang w:val="en-GB"/>
        </w:rPr>
      </w:pPr>
      <w:r w:rsidRPr="0089630F">
        <w:rPr>
          <w:rFonts w:cstheme="minorHAnsi"/>
          <w:bdr w:val="none" w:sz="0" w:space="0" w:color="auto" w:frame="1"/>
          <w:lang w:val="en-GB"/>
        </w:rPr>
        <w:t>How has implementation of the Sendai Framework been supported by other international agreements, conventions or frameworks (e.g., 2030 Agenda, Paris Agreement, Addis Ababa Action Plan, SAMOA Pathway, Convention on Biological Diversity, etc.)?</w:t>
      </w:r>
      <w:r w:rsidRPr="0089630F">
        <w:rPr>
          <w:rFonts w:cstheme="minorHAnsi"/>
          <w:lang w:val="en-GB"/>
        </w:rPr>
        <w:t> </w:t>
      </w:r>
    </w:p>
    <w:p w14:paraId="5E36BE77" w14:textId="77777777" w:rsidR="004B444A" w:rsidRPr="0089630F" w:rsidRDefault="004B444A" w:rsidP="004B444A">
      <w:pPr>
        <w:spacing w:before="180" w:after="120"/>
        <w:jc w:val="both"/>
        <w:rPr>
          <w:rFonts w:ascii="Calibri" w:hAnsi="Calibri" w:cs="Calibri"/>
          <w:i/>
          <w:iCs/>
          <w:lang w:val="en-GB"/>
        </w:rPr>
      </w:pPr>
      <w:r w:rsidRPr="0089630F">
        <w:rPr>
          <w:rFonts w:ascii="Calibri" w:hAnsi="Calibri" w:cs="Calibri"/>
          <w:i/>
          <w:iCs/>
          <w:lang w:val="en-GB"/>
        </w:rPr>
        <w:t>Targeted:</w:t>
      </w:r>
    </w:p>
    <w:p w14:paraId="7535D2BD" w14:textId="77777777" w:rsidR="004B444A" w:rsidRPr="0089630F" w:rsidRDefault="004B444A" w:rsidP="000C1DDE">
      <w:pPr>
        <w:pStyle w:val="ListParagraph"/>
        <w:numPr>
          <w:ilvl w:val="0"/>
          <w:numId w:val="5"/>
        </w:numPr>
        <w:spacing w:before="120" w:after="120"/>
        <w:ind w:left="714" w:hanging="357"/>
        <w:contextualSpacing w:val="0"/>
        <w:jc w:val="both"/>
        <w:rPr>
          <w:rFonts w:cstheme="minorHAnsi"/>
          <w:lang w:val="en-GB"/>
        </w:rPr>
      </w:pPr>
      <w:r w:rsidRPr="0089630F">
        <w:rPr>
          <w:rFonts w:cstheme="minorHAnsi"/>
          <w:lang w:val="en-GB"/>
        </w:rPr>
        <w:t>To what degree has multi-hazard / all risk management been incorporated in public sector decision making and investment at all levels, as well as within and across all sectors?</w:t>
      </w:r>
    </w:p>
    <w:p w14:paraId="2CE29200" w14:textId="77777777" w:rsidR="004B444A" w:rsidRPr="0089630F" w:rsidRDefault="004B444A" w:rsidP="000C1DDE">
      <w:pPr>
        <w:pStyle w:val="ListParagraph"/>
        <w:numPr>
          <w:ilvl w:val="0"/>
          <w:numId w:val="5"/>
        </w:numPr>
        <w:spacing w:before="120" w:after="120"/>
        <w:ind w:left="714" w:hanging="357"/>
        <w:contextualSpacing w:val="0"/>
        <w:jc w:val="both"/>
        <w:rPr>
          <w:rFonts w:cstheme="minorHAnsi"/>
          <w:lang w:val="en-GB"/>
        </w:rPr>
      </w:pPr>
      <w:r w:rsidRPr="0089630F">
        <w:rPr>
          <w:rFonts w:cstheme="minorHAnsi"/>
          <w:lang w:val="en-GB"/>
        </w:rPr>
        <w:t>How have approaches – including integrated, multisectoral approaches, as well as those adopted through local, national and regional DRR strategies and plans – succeeded in addressing disaster risks posed by both natural and man-made hazards and related environmental, technological and biological hazards and risks?</w:t>
      </w:r>
    </w:p>
    <w:p w14:paraId="0B07CEDD" w14:textId="77777777" w:rsidR="004B444A" w:rsidRPr="0089630F" w:rsidRDefault="004B444A" w:rsidP="000C1DDE">
      <w:pPr>
        <w:pStyle w:val="ListParagraph"/>
        <w:numPr>
          <w:ilvl w:val="0"/>
          <w:numId w:val="5"/>
        </w:numPr>
        <w:spacing w:before="120" w:after="120"/>
        <w:ind w:left="714" w:hanging="357"/>
        <w:contextualSpacing w:val="0"/>
        <w:jc w:val="both"/>
        <w:rPr>
          <w:rFonts w:cstheme="minorHAnsi"/>
          <w:lang w:val="en-GB"/>
        </w:rPr>
      </w:pPr>
      <w:r w:rsidRPr="0089630F">
        <w:rPr>
          <w:rFonts w:cstheme="minorHAnsi"/>
          <w:lang w:val="en-GB"/>
        </w:rPr>
        <w:t>To what degree are risk assessments systematically undertaken to assure risk-informed decision making? Do they consider trade-offs and co-benefits in the implementation of the Sustainable Development Goals? Are methodologies and data regularly reviewed and updated? Has there been an increase in the availability of loss data, including economic loss data?</w:t>
      </w:r>
    </w:p>
    <w:p w14:paraId="4597A4FD" w14:textId="77777777" w:rsidR="004B444A" w:rsidRPr="0089630F" w:rsidRDefault="004B444A" w:rsidP="000C1DDE">
      <w:pPr>
        <w:pStyle w:val="ListParagraph"/>
        <w:numPr>
          <w:ilvl w:val="0"/>
          <w:numId w:val="5"/>
        </w:numPr>
        <w:spacing w:before="120" w:after="120"/>
        <w:ind w:left="714" w:hanging="357"/>
        <w:contextualSpacing w:val="0"/>
        <w:jc w:val="both"/>
        <w:rPr>
          <w:rFonts w:cstheme="minorHAnsi"/>
          <w:lang w:val="en-GB"/>
        </w:rPr>
      </w:pPr>
      <w:r w:rsidRPr="0089630F">
        <w:rPr>
          <w:rFonts w:cstheme="minorHAnsi"/>
          <w:lang w:val="en-GB"/>
        </w:rPr>
        <w:t xml:space="preserve">To what degree are traditional, indigenous and local knowledge and communities, in addition to scientific and technological insights, participating and guiding risk assessment and risk-informed decision making and investment? </w:t>
      </w:r>
    </w:p>
    <w:p w14:paraId="65A15A4B" w14:textId="77777777" w:rsidR="004B444A" w:rsidRPr="0089630F" w:rsidRDefault="004B444A" w:rsidP="000C1DDE">
      <w:pPr>
        <w:pStyle w:val="ListParagraph"/>
        <w:numPr>
          <w:ilvl w:val="0"/>
          <w:numId w:val="5"/>
        </w:numPr>
        <w:spacing w:before="120" w:after="120"/>
        <w:ind w:left="714" w:hanging="357"/>
        <w:contextualSpacing w:val="0"/>
        <w:jc w:val="both"/>
        <w:rPr>
          <w:rFonts w:cstheme="minorHAnsi"/>
          <w:lang w:val="en-GB"/>
        </w:rPr>
      </w:pPr>
      <w:r w:rsidRPr="0089630F">
        <w:rPr>
          <w:lang w:val="en-GB"/>
        </w:rPr>
        <w:t xml:space="preserve">How have genuine and durable partnerships been established? How were they developed? How are such partnerships governed? How are they funded? What are the leadership roles and partnership evaluation methods? What challenges have been experienced in implementation? In which priority areas are more partnerships required for risk-informed sustainable development to be possible? </w:t>
      </w:r>
    </w:p>
    <w:p w14:paraId="7A11EE06" w14:textId="77777777" w:rsidR="004B444A" w:rsidRPr="0089630F" w:rsidRDefault="004B444A" w:rsidP="004B444A">
      <w:pPr>
        <w:rPr>
          <w:rFonts w:asciiTheme="majorHAnsi" w:eastAsiaTheme="majorEastAsia" w:hAnsiTheme="majorHAnsi" w:cstheme="majorBidi"/>
          <w:color w:val="C00000"/>
          <w:sz w:val="24"/>
          <w:szCs w:val="24"/>
          <w:lang w:val="en-GB"/>
        </w:rPr>
      </w:pPr>
      <w:r w:rsidRPr="0089630F">
        <w:rPr>
          <w:color w:val="C00000"/>
          <w:lang w:val="en-GB"/>
        </w:rPr>
        <w:br w:type="page"/>
      </w:r>
    </w:p>
    <w:p w14:paraId="1CE542E9" w14:textId="77777777" w:rsidR="004B444A" w:rsidRPr="0089630F" w:rsidRDefault="004B444A" w:rsidP="004B444A">
      <w:pPr>
        <w:pStyle w:val="Heading3"/>
        <w:spacing w:before="240" w:after="120"/>
        <w:rPr>
          <w:rFonts w:cstheme="minorHAnsi"/>
          <w:color w:val="C00000"/>
        </w:rPr>
      </w:pPr>
      <w:r w:rsidRPr="0089630F">
        <w:rPr>
          <w:color w:val="C00000"/>
        </w:rPr>
        <w:lastRenderedPageBreak/>
        <w:t>Priorities and options for the way forward:</w:t>
      </w:r>
    </w:p>
    <w:p w14:paraId="22449952" w14:textId="77777777" w:rsidR="004B444A" w:rsidRPr="0089630F" w:rsidRDefault="004B444A" w:rsidP="004B444A">
      <w:pPr>
        <w:spacing w:after="120"/>
        <w:jc w:val="both"/>
        <w:rPr>
          <w:rFonts w:ascii="Calibri" w:hAnsi="Calibri" w:cs="Calibri"/>
          <w:i/>
          <w:iCs/>
          <w:lang w:val="en-GB"/>
        </w:rPr>
      </w:pPr>
      <w:r w:rsidRPr="0089630F">
        <w:rPr>
          <w:rFonts w:ascii="Calibri" w:hAnsi="Calibri" w:cs="Calibri"/>
          <w:i/>
          <w:iCs/>
          <w:lang w:val="en-GB"/>
        </w:rPr>
        <w:t>General:</w:t>
      </w:r>
    </w:p>
    <w:p w14:paraId="3CBAACDD" w14:textId="77777777" w:rsidR="004B444A" w:rsidRPr="0089630F" w:rsidRDefault="004B444A" w:rsidP="000C1DDE">
      <w:pPr>
        <w:pStyle w:val="ListParagraph"/>
        <w:numPr>
          <w:ilvl w:val="0"/>
          <w:numId w:val="6"/>
        </w:numPr>
        <w:spacing w:before="120" w:after="120"/>
        <w:ind w:left="714" w:hanging="357"/>
        <w:contextualSpacing w:val="0"/>
        <w:jc w:val="both"/>
        <w:rPr>
          <w:rFonts w:ascii="Calibri" w:hAnsi="Calibri" w:cs="Calibri"/>
          <w:lang w:val="en-GB"/>
        </w:rPr>
      </w:pPr>
      <w:r w:rsidRPr="0089630F">
        <w:rPr>
          <w:rFonts w:ascii="Calibri" w:hAnsi="Calibri" w:cs="Calibri"/>
          <w:lang w:val="en-GB"/>
        </w:rPr>
        <w:t>What priorities must be set in order to ensure the implementation of the Sendai Framework by 2030?</w:t>
      </w:r>
    </w:p>
    <w:p w14:paraId="60867E76" w14:textId="77777777" w:rsidR="004B444A" w:rsidRPr="0089630F" w:rsidRDefault="004B444A" w:rsidP="000C1DDE">
      <w:pPr>
        <w:pStyle w:val="ListParagraph"/>
        <w:numPr>
          <w:ilvl w:val="0"/>
          <w:numId w:val="6"/>
        </w:numPr>
        <w:spacing w:before="120" w:after="120"/>
        <w:ind w:left="714" w:hanging="357"/>
        <w:contextualSpacing w:val="0"/>
        <w:jc w:val="both"/>
        <w:rPr>
          <w:rFonts w:ascii="Calibri" w:hAnsi="Calibri" w:cs="Calibri"/>
          <w:lang w:val="en-GB"/>
        </w:rPr>
      </w:pPr>
      <w:r w:rsidRPr="0089630F">
        <w:rPr>
          <w:rFonts w:ascii="Calibri" w:hAnsi="Calibri" w:cs="Calibri"/>
          <w:lang w:val="en-GB"/>
        </w:rPr>
        <w:t>What new initiatives and partnerships will become available to governments and other stakeholders going forward?</w:t>
      </w:r>
    </w:p>
    <w:p w14:paraId="22AE6F74" w14:textId="77777777" w:rsidR="004B444A" w:rsidRPr="0089630F" w:rsidRDefault="004B444A" w:rsidP="000C1DDE">
      <w:pPr>
        <w:pStyle w:val="ListParagraph"/>
        <w:numPr>
          <w:ilvl w:val="0"/>
          <w:numId w:val="6"/>
        </w:numPr>
        <w:spacing w:before="120" w:after="120"/>
        <w:ind w:left="714" w:hanging="357"/>
        <w:contextualSpacing w:val="0"/>
        <w:jc w:val="both"/>
        <w:rPr>
          <w:rFonts w:ascii="Calibri" w:hAnsi="Calibri" w:cs="Calibri"/>
          <w:lang w:val="en-GB"/>
        </w:rPr>
      </w:pPr>
      <w:r w:rsidRPr="0089630F">
        <w:rPr>
          <w:rFonts w:ascii="Calibri" w:hAnsi="Calibri" w:cs="Calibri"/>
          <w:lang w:val="en-GB"/>
        </w:rPr>
        <w:t>How can development partners and the international community better support the realisation of the expected outcome and goal of the Sendai Framework?</w:t>
      </w:r>
    </w:p>
    <w:p w14:paraId="18F66EEA" w14:textId="77777777" w:rsidR="004B444A" w:rsidRPr="0089630F" w:rsidRDefault="004B444A" w:rsidP="000C1DDE">
      <w:pPr>
        <w:pStyle w:val="ListParagraph"/>
        <w:numPr>
          <w:ilvl w:val="0"/>
          <w:numId w:val="6"/>
        </w:numPr>
        <w:spacing w:before="120" w:after="120"/>
        <w:ind w:left="714" w:hanging="357"/>
        <w:contextualSpacing w:val="0"/>
        <w:jc w:val="both"/>
        <w:rPr>
          <w:rFonts w:ascii="Calibri" w:hAnsi="Calibri" w:cs="Calibri"/>
          <w:lang w:val="en-GB"/>
        </w:rPr>
      </w:pPr>
      <w:r w:rsidRPr="0089630F">
        <w:rPr>
          <w:rFonts w:ascii="Calibri" w:hAnsi="Calibri" w:cs="Calibri"/>
          <w:lang w:val="en-GB"/>
        </w:rPr>
        <w:t>At a national level, how must policy planning change to facilitate implementation?</w:t>
      </w:r>
    </w:p>
    <w:p w14:paraId="4109BC35" w14:textId="77777777" w:rsidR="004B444A" w:rsidRPr="0089630F" w:rsidRDefault="004B444A" w:rsidP="000C1DDE">
      <w:pPr>
        <w:pStyle w:val="TableParagraph"/>
        <w:numPr>
          <w:ilvl w:val="0"/>
          <w:numId w:val="6"/>
        </w:numPr>
        <w:tabs>
          <w:tab w:val="left" w:pos="754"/>
        </w:tabs>
        <w:spacing w:before="120" w:after="120"/>
        <w:ind w:left="714" w:right="633" w:hanging="357"/>
        <w:jc w:val="both"/>
        <w:rPr>
          <w:rFonts w:asciiTheme="minorHAnsi" w:hAnsiTheme="minorHAnsi" w:cstheme="minorHAnsi"/>
          <w:lang w:val="en-GB"/>
        </w:rPr>
      </w:pPr>
      <w:r w:rsidRPr="0089630F">
        <w:rPr>
          <w:rFonts w:asciiTheme="minorHAnsi" w:hAnsiTheme="minorHAnsi" w:cstheme="minorHAnsi"/>
          <w:lang w:val="en-GB"/>
        </w:rPr>
        <w:t>What more needs to be done to hasten the shift from disaster management to</w:t>
      </w:r>
      <w:r w:rsidRPr="0089630F">
        <w:rPr>
          <w:rFonts w:asciiTheme="minorHAnsi" w:hAnsiTheme="minorHAnsi" w:cstheme="minorHAnsi"/>
          <w:spacing w:val="1"/>
          <w:lang w:val="en-GB"/>
        </w:rPr>
        <w:t xml:space="preserve"> </w:t>
      </w:r>
      <w:r w:rsidRPr="0089630F">
        <w:rPr>
          <w:rFonts w:asciiTheme="minorHAnsi" w:hAnsiTheme="minorHAnsi" w:cstheme="minorHAnsi"/>
          <w:lang w:val="en-GB"/>
        </w:rPr>
        <w:t>integrated</w:t>
      </w:r>
      <w:r w:rsidRPr="0089630F">
        <w:rPr>
          <w:rFonts w:asciiTheme="minorHAnsi" w:hAnsiTheme="minorHAnsi" w:cstheme="minorHAnsi"/>
          <w:spacing w:val="-4"/>
          <w:lang w:val="en-GB"/>
        </w:rPr>
        <w:t xml:space="preserve"> </w:t>
      </w:r>
      <w:r w:rsidRPr="0089630F">
        <w:rPr>
          <w:rFonts w:asciiTheme="minorHAnsi" w:hAnsiTheme="minorHAnsi" w:cstheme="minorHAnsi"/>
          <w:lang w:val="en-GB"/>
        </w:rPr>
        <w:t>and</w:t>
      </w:r>
      <w:r w:rsidRPr="0089630F">
        <w:rPr>
          <w:rFonts w:asciiTheme="minorHAnsi" w:hAnsiTheme="minorHAnsi" w:cstheme="minorHAnsi"/>
          <w:spacing w:val="-4"/>
          <w:lang w:val="en-GB"/>
        </w:rPr>
        <w:t xml:space="preserve"> </w:t>
      </w:r>
      <w:r w:rsidRPr="0089630F">
        <w:rPr>
          <w:rFonts w:asciiTheme="minorHAnsi" w:hAnsiTheme="minorHAnsi" w:cstheme="minorHAnsi"/>
          <w:lang w:val="en-GB"/>
        </w:rPr>
        <w:t>anticipatory</w:t>
      </w:r>
      <w:r w:rsidRPr="0089630F">
        <w:rPr>
          <w:rFonts w:asciiTheme="minorHAnsi" w:hAnsiTheme="minorHAnsi" w:cstheme="minorHAnsi"/>
          <w:spacing w:val="-4"/>
          <w:lang w:val="en-GB"/>
        </w:rPr>
        <w:t xml:space="preserve"> </w:t>
      </w:r>
      <w:r w:rsidRPr="0089630F">
        <w:rPr>
          <w:rFonts w:asciiTheme="minorHAnsi" w:hAnsiTheme="minorHAnsi" w:cstheme="minorHAnsi"/>
          <w:lang w:val="en-GB"/>
        </w:rPr>
        <w:t>disaster</w:t>
      </w:r>
      <w:r w:rsidRPr="0089630F">
        <w:rPr>
          <w:rFonts w:asciiTheme="minorHAnsi" w:hAnsiTheme="minorHAnsi" w:cstheme="minorHAnsi"/>
          <w:spacing w:val="-4"/>
          <w:lang w:val="en-GB"/>
        </w:rPr>
        <w:t xml:space="preserve"> </w:t>
      </w:r>
      <w:r w:rsidRPr="0089630F">
        <w:rPr>
          <w:rFonts w:asciiTheme="minorHAnsi" w:hAnsiTheme="minorHAnsi" w:cstheme="minorHAnsi"/>
          <w:lang w:val="en-GB"/>
        </w:rPr>
        <w:t>risk</w:t>
      </w:r>
      <w:r w:rsidRPr="0089630F">
        <w:rPr>
          <w:rFonts w:asciiTheme="minorHAnsi" w:hAnsiTheme="minorHAnsi" w:cstheme="minorHAnsi"/>
          <w:spacing w:val="-3"/>
          <w:lang w:val="en-GB"/>
        </w:rPr>
        <w:t xml:space="preserve"> </w:t>
      </w:r>
      <w:r w:rsidRPr="0089630F">
        <w:rPr>
          <w:rFonts w:asciiTheme="minorHAnsi" w:hAnsiTheme="minorHAnsi" w:cstheme="minorHAnsi"/>
          <w:lang w:val="en-GB"/>
        </w:rPr>
        <w:t>management; from managing events to</w:t>
      </w:r>
      <w:r w:rsidRPr="0089630F">
        <w:rPr>
          <w:rFonts w:asciiTheme="minorHAnsi" w:hAnsiTheme="minorHAnsi" w:cstheme="minorHAnsi"/>
          <w:spacing w:val="-52"/>
          <w:lang w:val="en-GB"/>
        </w:rPr>
        <w:t xml:space="preserve"> </w:t>
      </w:r>
      <w:r w:rsidRPr="0089630F">
        <w:rPr>
          <w:rFonts w:asciiTheme="minorHAnsi" w:hAnsiTheme="minorHAnsi" w:cstheme="minorHAnsi"/>
          <w:lang w:val="en-GB"/>
        </w:rPr>
        <w:t>managing</w:t>
      </w:r>
      <w:r w:rsidRPr="0089630F">
        <w:rPr>
          <w:rFonts w:asciiTheme="minorHAnsi" w:hAnsiTheme="minorHAnsi" w:cstheme="minorHAnsi"/>
          <w:spacing w:val="-1"/>
          <w:lang w:val="en-GB"/>
        </w:rPr>
        <w:t xml:space="preserve"> </w:t>
      </w:r>
      <w:r w:rsidRPr="0089630F">
        <w:rPr>
          <w:rFonts w:asciiTheme="minorHAnsi" w:hAnsiTheme="minorHAnsi" w:cstheme="minorHAnsi"/>
          <w:lang w:val="en-GB"/>
        </w:rPr>
        <w:t>the processes</w:t>
      </w:r>
      <w:r w:rsidRPr="0089630F">
        <w:rPr>
          <w:rFonts w:asciiTheme="minorHAnsi" w:hAnsiTheme="minorHAnsi" w:cstheme="minorHAnsi"/>
          <w:spacing w:val="-1"/>
          <w:lang w:val="en-GB"/>
        </w:rPr>
        <w:t xml:space="preserve"> </w:t>
      </w:r>
      <w:r w:rsidRPr="0089630F">
        <w:rPr>
          <w:rFonts w:asciiTheme="minorHAnsi" w:hAnsiTheme="minorHAnsi" w:cstheme="minorHAnsi"/>
          <w:lang w:val="en-GB"/>
        </w:rPr>
        <w:t>which</w:t>
      </w:r>
      <w:r w:rsidRPr="0089630F">
        <w:rPr>
          <w:rFonts w:asciiTheme="minorHAnsi" w:hAnsiTheme="minorHAnsi" w:cstheme="minorHAnsi"/>
          <w:spacing w:val="-1"/>
          <w:lang w:val="en-GB"/>
        </w:rPr>
        <w:t xml:space="preserve"> </w:t>
      </w:r>
      <w:r w:rsidRPr="0089630F">
        <w:rPr>
          <w:rFonts w:asciiTheme="minorHAnsi" w:hAnsiTheme="minorHAnsi" w:cstheme="minorHAnsi"/>
          <w:lang w:val="en-GB"/>
        </w:rPr>
        <w:t>create risk?</w:t>
      </w:r>
    </w:p>
    <w:p w14:paraId="2D8615BF" w14:textId="77777777" w:rsidR="004B444A" w:rsidRPr="0089630F" w:rsidRDefault="004B444A" w:rsidP="000C1DDE">
      <w:pPr>
        <w:pStyle w:val="ListParagraph"/>
        <w:numPr>
          <w:ilvl w:val="0"/>
          <w:numId w:val="6"/>
        </w:numPr>
        <w:spacing w:before="120" w:after="120"/>
        <w:ind w:left="714" w:hanging="357"/>
        <w:contextualSpacing w:val="0"/>
        <w:jc w:val="both"/>
        <w:rPr>
          <w:rFonts w:ascii="Calibri" w:hAnsi="Calibri" w:cs="Calibri"/>
          <w:lang w:val="en-GB"/>
        </w:rPr>
      </w:pPr>
      <w:r w:rsidRPr="0089630F">
        <w:rPr>
          <w:rFonts w:cstheme="minorHAnsi"/>
          <w:lang w:val="en-GB"/>
        </w:rPr>
        <w:t xml:space="preserve">What are the adjustments or key measures that must be taken to ensure that disaster risk management is no longer treated as a </w:t>
      </w:r>
      <w:proofErr w:type="gramStart"/>
      <w:r w:rsidRPr="0089630F">
        <w:rPr>
          <w:rFonts w:cstheme="minorHAnsi"/>
          <w:lang w:val="en-GB"/>
        </w:rPr>
        <w:t>‘sector’</w:t>
      </w:r>
      <w:r w:rsidRPr="0089630F">
        <w:rPr>
          <w:rFonts w:cstheme="minorHAnsi"/>
          <w:spacing w:val="-4"/>
          <w:lang w:val="en-GB"/>
        </w:rPr>
        <w:t xml:space="preserve"> </w:t>
      </w:r>
      <w:r w:rsidRPr="0089630F">
        <w:rPr>
          <w:rFonts w:cstheme="minorHAnsi"/>
          <w:lang w:val="en-GB"/>
        </w:rPr>
        <w:t>in</w:t>
      </w:r>
      <w:r w:rsidRPr="0089630F">
        <w:rPr>
          <w:rFonts w:cstheme="minorHAnsi"/>
          <w:spacing w:val="-4"/>
          <w:lang w:val="en-GB"/>
        </w:rPr>
        <w:t xml:space="preserve"> </w:t>
      </w:r>
      <w:r w:rsidRPr="0089630F">
        <w:rPr>
          <w:rFonts w:cstheme="minorHAnsi"/>
          <w:lang w:val="en-GB"/>
        </w:rPr>
        <w:t>itself, but</w:t>
      </w:r>
      <w:proofErr w:type="gramEnd"/>
      <w:r w:rsidRPr="0089630F">
        <w:rPr>
          <w:rFonts w:cstheme="minorHAnsi"/>
          <w:lang w:val="en-GB"/>
        </w:rPr>
        <w:t xml:space="preserve"> is a</w:t>
      </w:r>
      <w:r w:rsidRPr="0089630F">
        <w:rPr>
          <w:rFonts w:cstheme="minorHAnsi"/>
          <w:spacing w:val="-3"/>
          <w:lang w:val="en-GB"/>
        </w:rPr>
        <w:t xml:space="preserve"> </w:t>
      </w:r>
      <w:r w:rsidRPr="0089630F">
        <w:rPr>
          <w:rFonts w:cstheme="minorHAnsi"/>
          <w:lang w:val="en-GB"/>
        </w:rPr>
        <w:t>practice</w:t>
      </w:r>
      <w:r w:rsidRPr="0089630F">
        <w:rPr>
          <w:rFonts w:cstheme="minorHAnsi"/>
          <w:spacing w:val="-4"/>
          <w:lang w:val="en-GB"/>
        </w:rPr>
        <w:t xml:space="preserve"> </w:t>
      </w:r>
      <w:r w:rsidRPr="0089630F">
        <w:rPr>
          <w:rFonts w:cstheme="minorHAnsi"/>
          <w:lang w:val="en-GB"/>
        </w:rPr>
        <w:t>applied</w:t>
      </w:r>
      <w:r w:rsidRPr="0089630F">
        <w:rPr>
          <w:rFonts w:cstheme="minorHAnsi"/>
          <w:spacing w:val="-3"/>
          <w:lang w:val="en-GB"/>
        </w:rPr>
        <w:t xml:space="preserve"> across all </w:t>
      </w:r>
      <w:r w:rsidRPr="0089630F">
        <w:rPr>
          <w:rFonts w:cstheme="minorHAnsi"/>
          <w:lang w:val="en-GB"/>
        </w:rPr>
        <w:t>sectors?</w:t>
      </w:r>
    </w:p>
    <w:p w14:paraId="0BFD07B9" w14:textId="77777777" w:rsidR="004B444A" w:rsidRPr="0089630F" w:rsidRDefault="004B444A" w:rsidP="004B444A">
      <w:pPr>
        <w:spacing w:before="180" w:after="120"/>
        <w:jc w:val="both"/>
        <w:rPr>
          <w:rFonts w:ascii="Calibri" w:hAnsi="Calibri" w:cs="Calibri"/>
          <w:i/>
          <w:iCs/>
          <w:lang w:val="en-GB"/>
        </w:rPr>
      </w:pPr>
      <w:r w:rsidRPr="0089630F">
        <w:rPr>
          <w:rFonts w:ascii="Calibri" w:hAnsi="Calibri" w:cs="Calibri"/>
          <w:i/>
          <w:iCs/>
          <w:lang w:val="en-GB"/>
        </w:rPr>
        <w:t>Targeted:</w:t>
      </w:r>
    </w:p>
    <w:p w14:paraId="051DF4B1" w14:textId="77777777" w:rsidR="004B444A" w:rsidRPr="0089630F" w:rsidRDefault="004B444A" w:rsidP="000C1DDE">
      <w:pPr>
        <w:pStyle w:val="ListParagraph"/>
        <w:numPr>
          <w:ilvl w:val="0"/>
          <w:numId w:val="6"/>
        </w:numPr>
        <w:spacing w:before="120" w:after="120"/>
        <w:ind w:left="714" w:hanging="357"/>
        <w:contextualSpacing w:val="0"/>
        <w:jc w:val="both"/>
        <w:rPr>
          <w:rFonts w:ascii="Calibri" w:hAnsi="Calibri" w:cs="Calibri"/>
          <w:lang w:val="en-GB"/>
        </w:rPr>
      </w:pPr>
      <w:r w:rsidRPr="0089630F">
        <w:rPr>
          <w:rFonts w:ascii="Calibri" w:hAnsi="Calibri" w:cs="Calibri"/>
          <w:lang w:val="en-GB"/>
        </w:rPr>
        <w:t xml:space="preserve">What must be prioritised to ensure that responsibilities for disaster risk reduction are shared by central Governments and relevant national authorities, </w:t>
      </w:r>
      <w:proofErr w:type="gramStart"/>
      <w:r w:rsidRPr="0089630F">
        <w:rPr>
          <w:rFonts w:ascii="Calibri" w:hAnsi="Calibri" w:cs="Calibri"/>
          <w:lang w:val="en-GB"/>
        </w:rPr>
        <w:t>sectors</w:t>
      </w:r>
      <w:proofErr w:type="gramEnd"/>
      <w:r w:rsidRPr="0089630F">
        <w:rPr>
          <w:rFonts w:ascii="Calibri" w:hAnsi="Calibri" w:cs="Calibri"/>
          <w:lang w:val="en-GB"/>
        </w:rPr>
        <w:t xml:space="preserve"> and stakeholders so as to facilitate multistakeholder risk management and transdisciplinary, multiscale risk governance?</w:t>
      </w:r>
    </w:p>
    <w:p w14:paraId="6940CB6B" w14:textId="77777777" w:rsidR="004B444A" w:rsidRPr="0089630F" w:rsidRDefault="004B444A" w:rsidP="000C1DDE">
      <w:pPr>
        <w:pStyle w:val="ListParagraph"/>
        <w:numPr>
          <w:ilvl w:val="0"/>
          <w:numId w:val="6"/>
        </w:numPr>
        <w:spacing w:before="120" w:after="120"/>
        <w:ind w:left="714" w:hanging="357"/>
        <w:contextualSpacing w:val="0"/>
        <w:jc w:val="both"/>
        <w:rPr>
          <w:rFonts w:ascii="Calibri" w:hAnsi="Calibri" w:cs="Calibri"/>
          <w:lang w:val="en-GB"/>
        </w:rPr>
      </w:pPr>
      <w:r w:rsidRPr="0089630F">
        <w:rPr>
          <w:rFonts w:ascii="Calibri" w:hAnsi="Calibri" w:cs="Calibri"/>
          <w:lang w:val="en-GB"/>
        </w:rPr>
        <w:t>What adjustment or strengthening is required to make more effective the institutional framework at international, national and local levels, including compliance mechanisms?</w:t>
      </w:r>
    </w:p>
    <w:p w14:paraId="75C8ACA6" w14:textId="77777777" w:rsidR="004B444A" w:rsidRPr="0089630F" w:rsidRDefault="004B444A" w:rsidP="000C1DDE">
      <w:pPr>
        <w:pStyle w:val="ListParagraph"/>
        <w:numPr>
          <w:ilvl w:val="0"/>
          <w:numId w:val="6"/>
        </w:numPr>
        <w:spacing w:before="120" w:after="120"/>
        <w:ind w:left="714" w:hanging="357"/>
        <w:contextualSpacing w:val="0"/>
        <w:jc w:val="both"/>
        <w:rPr>
          <w:rFonts w:ascii="Calibri" w:hAnsi="Calibri" w:cs="Calibri"/>
          <w:lang w:val="en-GB"/>
        </w:rPr>
      </w:pPr>
      <w:r w:rsidRPr="0089630F">
        <w:rPr>
          <w:rFonts w:ascii="Calibri" w:hAnsi="Calibri" w:cs="Calibri"/>
          <w:lang w:val="en-GB"/>
        </w:rPr>
        <w:t>What priority actions can be taken to empower local authorities and local partnerships including institutions, the private sector, civil society, academia</w:t>
      </w:r>
      <w:r w:rsidRPr="0089630F">
        <w:rPr>
          <w:rFonts w:cstheme="minorHAnsi"/>
          <w:lang w:val="en-GB"/>
        </w:rPr>
        <w:t>, scientific and research institutions</w:t>
      </w:r>
      <w:r w:rsidRPr="0089630F">
        <w:rPr>
          <w:rFonts w:ascii="Calibri" w:hAnsi="Calibri" w:cs="Calibri"/>
          <w:lang w:val="en-GB"/>
        </w:rPr>
        <w:t xml:space="preserve"> to strengthen risk reducing action at the subnational and local levels?</w:t>
      </w:r>
    </w:p>
    <w:p w14:paraId="2E9441E9" w14:textId="77777777" w:rsidR="004B444A" w:rsidRPr="0089630F" w:rsidRDefault="004B444A" w:rsidP="000C1DDE">
      <w:pPr>
        <w:pStyle w:val="ListParagraph"/>
        <w:numPr>
          <w:ilvl w:val="0"/>
          <w:numId w:val="6"/>
        </w:numPr>
        <w:spacing w:before="120" w:after="120"/>
        <w:ind w:left="714" w:hanging="357"/>
        <w:contextualSpacing w:val="0"/>
        <w:jc w:val="both"/>
        <w:rPr>
          <w:rFonts w:ascii="Calibri" w:hAnsi="Calibri" w:cs="Calibri"/>
          <w:lang w:val="en-GB"/>
        </w:rPr>
      </w:pPr>
      <w:r w:rsidRPr="0089630F">
        <w:rPr>
          <w:rFonts w:ascii="Calibri" w:hAnsi="Calibri" w:cs="Calibri"/>
          <w:lang w:val="en-GB"/>
        </w:rPr>
        <w:t>What are the priority capacity deficits that should be prioritised for development if implementation of the Sendai Framework is to be accelerated?</w:t>
      </w:r>
    </w:p>
    <w:p w14:paraId="08B146D0" w14:textId="77777777" w:rsidR="004B444A" w:rsidRPr="0089630F" w:rsidRDefault="004B444A" w:rsidP="000C1DDE">
      <w:pPr>
        <w:pStyle w:val="ListParagraph"/>
        <w:numPr>
          <w:ilvl w:val="0"/>
          <w:numId w:val="6"/>
        </w:numPr>
        <w:spacing w:before="120" w:after="120"/>
        <w:ind w:left="714" w:hanging="357"/>
        <w:contextualSpacing w:val="0"/>
        <w:jc w:val="both"/>
        <w:rPr>
          <w:rFonts w:ascii="Calibri" w:hAnsi="Calibri" w:cs="Calibri"/>
          <w:lang w:val="en-GB"/>
        </w:rPr>
      </w:pPr>
      <w:r w:rsidRPr="0089630F">
        <w:rPr>
          <w:rFonts w:ascii="Calibri" w:hAnsi="Calibri" w:cs="Calibri"/>
          <w:lang w:val="en-GB"/>
        </w:rPr>
        <w:t>What are the key measures that must be taken to build the resilience of critical infrastructure, including health systems, food systems and financial systems?</w:t>
      </w:r>
    </w:p>
    <w:p w14:paraId="13F651C3" w14:textId="77777777" w:rsidR="004B444A" w:rsidRPr="0089630F" w:rsidRDefault="004B444A" w:rsidP="004B444A">
      <w:pPr>
        <w:jc w:val="both"/>
        <w:rPr>
          <w:rFonts w:ascii="Calibri" w:hAnsi="Calibri" w:cs="Calibri"/>
          <w:lang w:val="en-GB"/>
        </w:rPr>
      </w:pPr>
    </w:p>
    <w:p w14:paraId="6BAB6228" w14:textId="77777777" w:rsidR="004B444A" w:rsidRPr="0089630F" w:rsidRDefault="004B444A" w:rsidP="004B444A">
      <w:pPr>
        <w:rPr>
          <w:lang w:val="en-GB"/>
        </w:rPr>
      </w:pPr>
    </w:p>
    <w:p w14:paraId="28E17AD7" w14:textId="77777777" w:rsidR="004B444A" w:rsidRPr="0089630F" w:rsidRDefault="004B444A" w:rsidP="004B444A">
      <w:pPr>
        <w:rPr>
          <w:lang w:val="en-GB"/>
        </w:rPr>
      </w:pPr>
    </w:p>
    <w:p w14:paraId="2005CA18" w14:textId="77777777" w:rsidR="0003051A" w:rsidRPr="0089630F" w:rsidRDefault="0003051A" w:rsidP="004627B2">
      <w:pPr>
        <w:spacing w:before="240" w:after="240"/>
        <w:jc w:val="both"/>
        <w:rPr>
          <w:lang w:val="en-GB"/>
        </w:rPr>
      </w:pPr>
    </w:p>
    <w:sectPr w:rsidR="0003051A" w:rsidRPr="0089630F" w:rsidSect="00F45A5B">
      <w:footerReference w:type="default" r:id="rId39"/>
      <w:pgSz w:w="12240" w:h="15840"/>
      <w:pgMar w:top="1440" w:right="1191" w:bottom="1440"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FC5D0" w14:textId="77777777" w:rsidR="008A301C" w:rsidRDefault="008A301C" w:rsidP="00335201">
      <w:pPr>
        <w:spacing w:after="0" w:line="240" w:lineRule="auto"/>
      </w:pPr>
      <w:r>
        <w:separator/>
      </w:r>
    </w:p>
  </w:endnote>
  <w:endnote w:type="continuationSeparator" w:id="0">
    <w:p w14:paraId="61555037" w14:textId="77777777" w:rsidR="008A301C" w:rsidRDefault="008A301C" w:rsidP="00335201">
      <w:pPr>
        <w:spacing w:after="0" w:line="240" w:lineRule="auto"/>
      </w:pPr>
      <w:r>
        <w:continuationSeparator/>
      </w:r>
    </w:p>
  </w:endnote>
  <w:endnote w:type="continuationNotice" w:id="1">
    <w:p w14:paraId="2EF1AAEE" w14:textId="77777777" w:rsidR="008A301C" w:rsidRDefault="008A30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ZWAdobeF">
    <w:altName w:val="Calibri"/>
    <w:panose1 w:val="00000000000000000000"/>
    <w:charset w:val="00"/>
    <w:family w:val="auto"/>
    <w:pitch w:val="variable"/>
    <w:sig w:usb0="20002A87" w:usb1="00000000" w:usb2="00000000"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F313" w14:textId="49DBE80F" w:rsidR="00755F86" w:rsidRDefault="00A040D7" w:rsidP="00153899">
    <w:pPr>
      <w:pStyle w:val="Footer"/>
    </w:pPr>
    <w:sdt>
      <w:sdtPr>
        <w:rPr>
          <w:sz w:val="18"/>
          <w:szCs w:val="18"/>
        </w:rPr>
        <w:id w:val="36788942"/>
        <w:docPartObj>
          <w:docPartGallery w:val="Page Numbers (Bottom of Page)"/>
          <w:docPartUnique/>
        </w:docPartObj>
      </w:sdtPr>
      <w:sdtEndPr>
        <w:rPr>
          <w:noProof/>
        </w:rPr>
      </w:sdtEndPr>
      <w:sdtContent>
        <w:r w:rsidR="00755F86" w:rsidRPr="00984F82">
          <w:rPr>
            <w:color w:val="1F3864" w:themeColor="accent1" w:themeShade="80"/>
            <w:sz w:val="18"/>
            <w:szCs w:val="18"/>
          </w:rPr>
          <w:t xml:space="preserve">Guidance for </w:t>
        </w:r>
        <w:r w:rsidR="00755F86">
          <w:rPr>
            <w:color w:val="1F3864" w:themeColor="accent1" w:themeShade="80"/>
            <w:sz w:val="18"/>
            <w:szCs w:val="18"/>
          </w:rPr>
          <w:t xml:space="preserve">MTR SF </w:t>
        </w:r>
        <w:r w:rsidR="00755F86" w:rsidRPr="00984F82">
          <w:rPr>
            <w:color w:val="1F3864" w:themeColor="accent1" w:themeShade="80"/>
            <w:sz w:val="18"/>
            <w:szCs w:val="18"/>
          </w:rPr>
          <w:t>Consultations</w:t>
        </w:r>
        <w:r w:rsidR="00755F86">
          <w:rPr>
            <w:color w:val="1F3864" w:themeColor="accent1" w:themeShade="80"/>
            <w:sz w:val="18"/>
            <w:szCs w:val="18"/>
          </w:rPr>
          <w:t>,</w:t>
        </w:r>
        <w:r w:rsidR="00755F86" w:rsidRPr="00984F82">
          <w:rPr>
            <w:color w:val="1F3864" w:themeColor="accent1" w:themeShade="80"/>
            <w:sz w:val="18"/>
            <w:szCs w:val="18"/>
          </w:rPr>
          <w:t xml:space="preserve"> Review</w:t>
        </w:r>
        <w:r w:rsidR="00755F86">
          <w:rPr>
            <w:color w:val="1F3864" w:themeColor="accent1" w:themeShade="80"/>
            <w:sz w:val="18"/>
            <w:szCs w:val="18"/>
          </w:rPr>
          <w:t xml:space="preserve"> and Stocktaking</w:t>
        </w:r>
        <w:r w:rsidR="00755F86" w:rsidRPr="00984F82">
          <w:rPr>
            <w:color w:val="1F3864" w:themeColor="accent1" w:themeShade="80"/>
            <w:sz w:val="18"/>
            <w:szCs w:val="18"/>
          </w:rPr>
          <w:t xml:space="preserve"> – </w:t>
        </w:r>
        <w:r w:rsidR="00755F86">
          <w:rPr>
            <w:color w:val="1F3864" w:themeColor="accent1" w:themeShade="80"/>
            <w:sz w:val="18"/>
            <w:szCs w:val="18"/>
          </w:rPr>
          <w:t>Stakeholders</w:t>
        </w:r>
        <w:r w:rsidR="00755F86">
          <w:rPr>
            <w:sz w:val="18"/>
            <w:szCs w:val="18"/>
          </w:rPr>
          <w:tab/>
        </w:r>
        <w:r w:rsidR="00755F86" w:rsidRPr="0064187F">
          <w:rPr>
            <w:sz w:val="18"/>
            <w:szCs w:val="18"/>
          </w:rPr>
          <w:fldChar w:fldCharType="begin"/>
        </w:r>
        <w:r w:rsidR="00755F86" w:rsidRPr="0064187F">
          <w:rPr>
            <w:sz w:val="18"/>
            <w:szCs w:val="18"/>
          </w:rPr>
          <w:instrText xml:space="preserve"> PAGE   \* MERGEFORMAT </w:instrText>
        </w:r>
        <w:r w:rsidR="00755F86" w:rsidRPr="0064187F">
          <w:rPr>
            <w:sz w:val="18"/>
            <w:szCs w:val="18"/>
          </w:rPr>
          <w:fldChar w:fldCharType="separate"/>
        </w:r>
        <w:r w:rsidR="00755F86">
          <w:rPr>
            <w:sz w:val="18"/>
            <w:szCs w:val="18"/>
          </w:rPr>
          <w:t>1</w:t>
        </w:r>
        <w:r w:rsidR="00755F86" w:rsidRPr="0064187F">
          <w:rPr>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22894711"/>
      <w:docPartObj>
        <w:docPartGallery w:val="Page Numbers (Bottom of Page)"/>
        <w:docPartUnique/>
      </w:docPartObj>
    </w:sdtPr>
    <w:sdtEndPr>
      <w:rPr>
        <w:noProof/>
      </w:rPr>
    </w:sdtEndPr>
    <w:sdtContent>
      <w:p w14:paraId="78A10FE9" w14:textId="77777777" w:rsidR="00755F86" w:rsidRPr="0028107D" w:rsidRDefault="00755F86" w:rsidP="00F45A5B">
        <w:pPr>
          <w:pStyle w:val="Footer"/>
          <w:tabs>
            <w:tab w:val="clear" w:pos="4680"/>
            <w:tab w:val="center" w:pos="4536"/>
            <w:tab w:val="right" w:pos="13892"/>
          </w:tabs>
          <w:rPr>
            <w:sz w:val="18"/>
            <w:szCs w:val="18"/>
          </w:rPr>
        </w:pPr>
        <w:r>
          <w:rPr>
            <w:noProof/>
          </w:rPr>
          <w:drawing>
            <wp:inline distT="0" distB="0" distL="0" distR="0" wp14:anchorId="1369BD4D" wp14:editId="5A8FFFD9">
              <wp:extent cx="362724" cy="33322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_black.jpg"/>
                      <pic:cNvPicPr/>
                    </pic:nvPicPr>
                    <pic:blipFill>
                      <a:blip r:embed="rId1"/>
                      <a:stretch>
                        <a:fillRect/>
                      </a:stretch>
                    </pic:blipFill>
                    <pic:spPr>
                      <a:xfrm>
                        <a:off x="0" y="0"/>
                        <a:ext cx="392763" cy="360823"/>
                      </a:xfrm>
                      <a:prstGeom prst="rect">
                        <a:avLst/>
                      </a:prstGeom>
                    </pic:spPr>
                  </pic:pic>
                </a:graphicData>
              </a:graphic>
            </wp:inline>
          </w:drawing>
        </w:r>
        <w:r>
          <w:rPr>
            <w:sz w:val="18"/>
            <w:szCs w:val="18"/>
          </w:rPr>
          <w:tab/>
        </w:r>
        <w:r w:rsidRPr="0064187F">
          <w:rPr>
            <w:sz w:val="18"/>
            <w:szCs w:val="18"/>
          </w:rPr>
          <w:fldChar w:fldCharType="begin"/>
        </w:r>
        <w:r w:rsidRPr="0064187F">
          <w:rPr>
            <w:sz w:val="18"/>
            <w:szCs w:val="18"/>
          </w:rPr>
          <w:instrText xml:space="preserve"> PAGE   \* MERGEFORMAT </w:instrText>
        </w:r>
        <w:r w:rsidRPr="0064187F">
          <w:rPr>
            <w:sz w:val="18"/>
            <w:szCs w:val="18"/>
          </w:rPr>
          <w:fldChar w:fldCharType="separate"/>
        </w:r>
        <w:r>
          <w:rPr>
            <w:sz w:val="18"/>
            <w:szCs w:val="18"/>
          </w:rPr>
          <w:t>7</w:t>
        </w:r>
        <w:r w:rsidRPr="0064187F">
          <w:rPr>
            <w:noProof/>
            <w:sz w:val="18"/>
            <w:szCs w:val="18"/>
          </w:rPr>
          <w:fldChar w:fldCharType="end"/>
        </w:r>
        <w:r>
          <w:rPr>
            <w:sz w:val="18"/>
            <w:szCs w:val="18"/>
          </w:rPr>
          <w:tab/>
        </w:r>
        <w:r>
          <w:rPr>
            <w:noProof/>
          </w:rPr>
          <w:drawing>
            <wp:inline distT="0" distB="0" distL="0" distR="0" wp14:anchorId="61570F9B" wp14:editId="63FE9D1A">
              <wp:extent cx="915212" cy="339339"/>
              <wp:effectExtent l="0" t="0" r="0" b="3810"/>
              <wp:docPr id="12" name="Picture 12" descr="cid:e9557d00-8176-444e-adc1-3cb206ff5c85"/>
              <wp:cNvGraphicFramePr/>
              <a:graphic xmlns:a="http://schemas.openxmlformats.org/drawingml/2006/main">
                <a:graphicData uri="http://schemas.openxmlformats.org/drawingml/2006/picture">
                  <pic:pic xmlns:pic="http://schemas.openxmlformats.org/drawingml/2006/picture">
                    <pic:nvPicPr>
                      <pic:cNvPr id="2" name="Picture 2" descr="cid:e9557d00-8176-444e-adc1-3cb206ff5c85"/>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5212" cy="339339"/>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799800317"/>
      <w:docPartObj>
        <w:docPartGallery w:val="Page Numbers (Bottom of Page)"/>
        <w:docPartUnique/>
      </w:docPartObj>
    </w:sdtPr>
    <w:sdtEndPr>
      <w:rPr>
        <w:noProof/>
      </w:rPr>
    </w:sdtEndPr>
    <w:sdtContent>
      <w:p w14:paraId="0042E0B5" w14:textId="77777777" w:rsidR="00755F86" w:rsidRPr="0028107D" w:rsidRDefault="00755F86" w:rsidP="00F45A5B">
        <w:pPr>
          <w:pStyle w:val="Footer"/>
          <w:tabs>
            <w:tab w:val="clear" w:pos="4680"/>
            <w:tab w:val="clear" w:pos="9360"/>
            <w:tab w:val="center" w:pos="6946"/>
            <w:tab w:val="right" w:pos="13892"/>
          </w:tabs>
          <w:rPr>
            <w:sz w:val="18"/>
            <w:szCs w:val="18"/>
          </w:rPr>
        </w:pPr>
        <w:r>
          <w:rPr>
            <w:noProof/>
          </w:rPr>
          <w:drawing>
            <wp:inline distT="0" distB="0" distL="0" distR="0" wp14:anchorId="16655AC1" wp14:editId="49576DD6">
              <wp:extent cx="362724" cy="3332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_black.jpg"/>
                      <pic:cNvPicPr/>
                    </pic:nvPicPr>
                    <pic:blipFill>
                      <a:blip r:embed="rId1"/>
                      <a:stretch>
                        <a:fillRect/>
                      </a:stretch>
                    </pic:blipFill>
                    <pic:spPr>
                      <a:xfrm>
                        <a:off x="0" y="0"/>
                        <a:ext cx="392763" cy="360823"/>
                      </a:xfrm>
                      <a:prstGeom prst="rect">
                        <a:avLst/>
                      </a:prstGeom>
                    </pic:spPr>
                  </pic:pic>
                </a:graphicData>
              </a:graphic>
            </wp:inline>
          </w:drawing>
        </w:r>
        <w:r>
          <w:rPr>
            <w:sz w:val="18"/>
            <w:szCs w:val="18"/>
          </w:rPr>
          <w:tab/>
        </w:r>
        <w:r w:rsidRPr="0064187F">
          <w:rPr>
            <w:sz w:val="18"/>
            <w:szCs w:val="18"/>
          </w:rPr>
          <w:fldChar w:fldCharType="begin"/>
        </w:r>
        <w:r w:rsidRPr="0064187F">
          <w:rPr>
            <w:sz w:val="18"/>
            <w:szCs w:val="18"/>
          </w:rPr>
          <w:instrText xml:space="preserve"> PAGE   \* MERGEFORMAT </w:instrText>
        </w:r>
        <w:r w:rsidRPr="0064187F">
          <w:rPr>
            <w:sz w:val="18"/>
            <w:szCs w:val="18"/>
          </w:rPr>
          <w:fldChar w:fldCharType="separate"/>
        </w:r>
        <w:r>
          <w:rPr>
            <w:sz w:val="18"/>
            <w:szCs w:val="18"/>
          </w:rPr>
          <w:t>7</w:t>
        </w:r>
        <w:r w:rsidRPr="0064187F">
          <w:rPr>
            <w:noProof/>
            <w:sz w:val="18"/>
            <w:szCs w:val="18"/>
          </w:rPr>
          <w:fldChar w:fldCharType="end"/>
        </w:r>
        <w:r>
          <w:rPr>
            <w:sz w:val="18"/>
            <w:szCs w:val="18"/>
          </w:rPr>
          <w:tab/>
        </w:r>
        <w:r>
          <w:rPr>
            <w:noProof/>
          </w:rPr>
          <w:drawing>
            <wp:inline distT="0" distB="0" distL="0" distR="0" wp14:anchorId="3A1D8EC6" wp14:editId="1AFB0837">
              <wp:extent cx="915212" cy="339339"/>
              <wp:effectExtent l="0" t="0" r="0" b="3810"/>
              <wp:docPr id="6" name="Picture 6" descr="cid:e9557d00-8176-444e-adc1-3cb206ff5c85"/>
              <wp:cNvGraphicFramePr/>
              <a:graphic xmlns:a="http://schemas.openxmlformats.org/drawingml/2006/main">
                <a:graphicData uri="http://schemas.openxmlformats.org/drawingml/2006/picture">
                  <pic:pic xmlns:pic="http://schemas.openxmlformats.org/drawingml/2006/picture">
                    <pic:nvPicPr>
                      <pic:cNvPr id="2" name="Picture 2" descr="cid:e9557d00-8176-444e-adc1-3cb206ff5c85"/>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5212" cy="339339"/>
                      </a:xfrm>
                      <a:prstGeom prst="rect">
                        <a:avLst/>
                      </a:prstGeom>
                      <a:noFill/>
                      <a:ln>
                        <a:noFill/>
                      </a:ln>
                    </pic:spPr>
                  </pic:pic>
                </a:graphicData>
              </a:graphic>
            </wp:inline>
          </w:drawing>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828236949"/>
      <w:docPartObj>
        <w:docPartGallery w:val="Page Numbers (Bottom of Page)"/>
        <w:docPartUnique/>
      </w:docPartObj>
    </w:sdtPr>
    <w:sdtEndPr>
      <w:rPr>
        <w:noProof/>
      </w:rPr>
    </w:sdtEndPr>
    <w:sdtContent>
      <w:p w14:paraId="784C6518" w14:textId="77777777" w:rsidR="00755F86" w:rsidRPr="0028107D" w:rsidRDefault="00755F86" w:rsidP="00F45A5B">
        <w:pPr>
          <w:pStyle w:val="Footer"/>
          <w:tabs>
            <w:tab w:val="clear" w:pos="4680"/>
            <w:tab w:val="clear" w:pos="9360"/>
            <w:tab w:val="center" w:pos="4820"/>
            <w:tab w:val="right" w:pos="13892"/>
          </w:tabs>
          <w:rPr>
            <w:sz w:val="18"/>
            <w:szCs w:val="18"/>
          </w:rPr>
        </w:pPr>
        <w:r>
          <w:rPr>
            <w:noProof/>
          </w:rPr>
          <w:drawing>
            <wp:inline distT="0" distB="0" distL="0" distR="0" wp14:anchorId="25CF4846" wp14:editId="1C147754">
              <wp:extent cx="362724" cy="33322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_black.jpg"/>
                      <pic:cNvPicPr/>
                    </pic:nvPicPr>
                    <pic:blipFill>
                      <a:blip r:embed="rId1"/>
                      <a:stretch>
                        <a:fillRect/>
                      </a:stretch>
                    </pic:blipFill>
                    <pic:spPr>
                      <a:xfrm>
                        <a:off x="0" y="0"/>
                        <a:ext cx="392763" cy="360823"/>
                      </a:xfrm>
                      <a:prstGeom prst="rect">
                        <a:avLst/>
                      </a:prstGeom>
                    </pic:spPr>
                  </pic:pic>
                </a:graphicData>
              </a:graphic>
            </wp:inline>
          </w:drawing>
        </w:r>
        <w:r>
          <w:rPr>
            <w:sz w:val="18"/>
            <w:szCs w:val="18"/>
          </w:rPr>
          <w:tab/>
        </w:r>
        <w:r w:rsidRPr="0064187F">
          <w:rPr>
            <w:sz w:val="18"/>
            <w:szCs w:val="18"/>
          </w:rPr>
          <w:fldChar w:fldCharType="begin"/>
        </w:r>
        <w:r w:rsidRPr="0064187F">
          <w:rPr>
            <w:sz w:val="18"/>
            <w:szCs w:val="18"/>
          </w:rPr>
          <w:instrText xml:space="preserve"> PAGE   \* MERGEFORMAT </w:instrText>
        </w:r>
        <w:r w:rsidRPr="0064187F">
          <w:rPr>
            <w:sz w:val="18"/>
            <w:szCs w:val="18"/>
          </w:rPr>
          <w:fldChar w:fldCharType="separate"/>
        </w:r>
        <w:r>
          <w:rPr>
            <w:sz w:val="18"/>
            <w:szCs w:val="18"/>
          </w:rPr>
          <w:t>7</w:t>
        </w:r>
        <w:r w:rsidRPr="0064187F">
          <w:rPr>
            <w:noProof/>
            <w:sz w:val="18"/>
            <w:szCs w:val="18"/>
          </w:rPr>
          <w:fldChar w:fldCharType="end"/>
        </w:r>
        <w:r>
          <w:rPr>
            <w:sz w:val="18"/>
            <w:szCs w:val="18"/>
          </w:rPr>
          <w:tab/>
        </w:r>
        <w:r>
          <w:rPr>
            <w:noProof/>
          </w:rPr>
          <w:drawing>
            <wp:inline distT="0" distB="0" distL="0" distR="0" wp14:anchorId="58329972" wp14:editId="283592A4">
              <wp:extent cx="915212" cy="339339"/>
              <wp:effectExtent l="0" t="0" r="0" b="3810"/>
              <wp:docPr id="19" name="Picture 19" descr="cid:e9557d00-8176-444e-adc1-3cb206ff5c85"/>
              <wp:cNvGraphicFramePr/>
              <a:graphic xmlns:a="http://schemas.openxmlformats.org/drawingml/2006/main">
                <a:graphicData uri="http://schemas.openxmlformats.org/drawingml/2006/picture">
                  <pic:pic xmlns:pic="http://schemas.openxmlformats.org/drawingml/2006/picture">
                    <pic:nvPicPr>
                      <pic:cNvPr id="2" name="Picture 2" descr="cid:e9557d00-8176-444e-adc1-3cb206ff5c85"/>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5212" cy="339339"/>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12F23" w14:textId="77777777" w:rsidR="008A301C" w:rsidRDefault="008A301C" w:rsidP="00335201">
      <w:pPr>
        <w:spacing w:after="0" w:line="240" w:lineRule="auto"/>
      </w:pPr>
      <w:r>
        <w:separator/>
      </w:r>
    </w:p>
  </w:footnote>
  <w:footnote w:type="continuationSeparator" w:id="0">
    <w:p w14:paraId="34E0EB20" w14:textId="77777777" w:rsidR="008A301C" w:rsidRDefault="008A301C" w:rsidP="00335201">
      <w:pPr>
        <w:spacing w:after="0" w:line="240" w:lineRule="auto"/>
      </w:pPr>
      <w:r>
        <w:continuationSeparator/>
      </w:r>
    </w:p>
  </w:footnote>
  <w:footnote w:type="continuationNotice" w:id="1">
    <w:p w14:paraId="733A5C23" w14:textId="77777777" w:rsidR="008A301C" w:rsidRDefault="008A301C">
      <w:pPr>
        <w:spacing w:after="0" w:line="240" w:lineRule="auto"/>
      </w:pPr>
    </w:p>
  </w:footnote>
  <w:footnote w:id="2">
    <w:p w14:paraId="2240D065" w14:textId="77777777" w:rsidR="00755F86" w:rsidRPr="005E27CC" w:rsidRDefault="00755F86" w:rsidP="00C87FC8">
      <w:pPr>
        <w:rPr>
          <w:rFonts w:cstheme="minorHAnsi"/>
          <w:color w:val="000000" w:themeColor="text1"/>
          <w:sz w:val="18"/>
          <w:szCs w:val="18"/>
        </w:rPr>
      </w:pPr>
      <w:r w:rsidRPr="005E27CC">
        <w:rPr>
          <w:rStyle w:val="FootnoteReference"/>
          <w:rFonts w:cstheme="minorHAnsi"/>
          <w:color w:val="000000" w:themeColor="text1"/>
          <w:sz w:val="18"/>
          <w:szCs w:val="18"/>
        </w:rPr>
        <w:footnoteRef/>
      </w:r>
      <w:r w:rsidRPr="005E27CC">
        <w:rPr>
          <w:rFonts w:cstheme="minorHAnsi"/>
          <w:color w:val="000000" w:themeColor="text1"/>
          <w:sz w:val="18"/>
          <w:szCs w:val="18"/>
        </w:rPr>
        <w:t xml:space="preserve"> Report of the Secretary-General 2021 (</w:t>
      </w:r>
      <w:hyperlink r:id="rId1">
        <w:r w:rsidRPr="00CB5266">
          <w:rPr>
            <w:rFonts w:cstheme="minorHAnsi"/>
            <w:color w:val="000000" w:themeColor="text1"/>
            <w:sz w:val="18"/>
            <w:szCs w:val="18"/>
            <w:u w:val="single"/>
          </w:rPr>
          <w:t>A/76/240</w:t>
        </w:r>
      </w:hyperlink>
      <w:r w:rsidRPr="005E27CC">
        <w:rPr>
          <w:rFonts w:cstheme="minorHAnsi"/>
          <w:color w:val="000000" w:themeColor="text1"/>
          <w:sz w:val="18"/>
          <w:szCs w:val="18"/>
        </w:rPr>
        <w:t>)</w:t>
      </w:r>
    </w:p>
  </w:footnote>
  <w:footnote w:id="3">
    <w:p w14:paraId="14D715C2" w14:textId="77777777" w:rsidR="00755F86" w:rsidRPr="005E27CC" w:rsidRDefault="00755F86" w:rsidP="00CD3D71">
      <w:pPr>
        <w:spacing w:before="60" w:after="60"/>
        <w:ind w:left="112" w:hanging="112"/>
        <w:rPr>
          <w:color w:val="000000" w:themeColor="text1"/>
          <w:sz w:val="18"/>
          <w:szCs w:val="18"/>
        </w:rPr>
      </w:pPr>
      <w:r w:rsidRPr="005E27CC">
        <w:rPr>
          <w:rStyle w:val="FootnoteReference"/>
          <w:color w:val="000000" w:themeColor="text1"/>
          <w:sz w:val="18"/>
          <w:szCs w:val="18"/>
        </w:rPr>
        <w:footnoteRef/>
      </w:r>
      <w:r w:rsidRPr="005E27CC">
        <w:rPr>
          <w:color w:val="000000" w:themeColor="text1"/>
          <w:sz w:val="18"/>
          <w:szCs w:val="18"/>
        </w:rPr>
        <w:t xml:space="preserve"> that might, for example, draw from or cite data and information disaggregated by income, sex, age, race, ethnicity, migration status, disability, and geographic location, among other characteristics relevant to context</w:t>
      </w:r>
    </w:p>
  </w:footnote>
  <w:footnote w:id="4">
    <w:p w14:paraId="16FF2638" w14:textId="77777777" w:rsidR="00755F86" w:rsidRPr="00B64109" w:rsidRDefault="00755F86" w:rsidP="002655C3">
      <w:pPr>
        <w:pStyle w:val="FootnoteText"/>
        <w:spacing w:before="60"/>
        <w:ind w:left="112" w:hanging="112"/>
        <w:rPr>
          <w:sz w:val="18"/>
          <w:szCs w:val="18"/>
        </w:rPr>
      </w:pPr>
      <w:r w:rsidRPr="00B64109">
        <w:rPr>
          <w:rStyle w:val="FootnoteReference"/>
          <w:sz w:val="18"/>
          <w:szCs w:val="18"/>
        </w:rPr>
        <w:footnoteRef/>
      </w:r>
      <w:r w:rsidRPr="00B64109">
        <w:rPr>
          <w:sz w:val="18"/>
          <w:szCs w:val="18"/>
        </w:rPr>
        <w:t xml:space="preserve"> while </w:t>
      </w:r>
      <w:proofErr w:type="gramStart"/>
      <w:r w:rsidRPr="00B64109">
        <w:rPr>
          <w:sz w:val="18"/>
          <w:szCs w:val="18"/>
        </w:rPr>
        <w:t>taking into account</w:t>
      </w:r>
      <w:proofErr w:type="gramEnd"/>
      <w:r w:rsidRPr="00B64109">
        <w:rPr>
          <w:sz w:val="18"/>
          <w:szCs w:val="18"/>
        </w:rPr>
        <w:t xml:space="preserve"> national circumstances, and consistent with domestic laws as well as international obligations and commitments</w:t>
      </w:r>
    </w:p>
  </w:footnote>
  <w:footnote w:id="5">
    <w:p w14:paraId="22ADBEEA" w14:textId="59AB5282" w:rsidR="00755F86" w:rsidRPr="00004B74" w:rsidRDefault="00755F86" w:rsidP="006F4CCF">
      <w:pPr>
        <w:pStyle w:val="FootnoteText"/>
        <w:spacing w:before="60" w:after="60"/>
        <w:ind w:left="112" w:hanging="112"/>
        <w:rPr>
          <w:sz w:val="18"/>
          <w:szCs w:val="18"/>
        </w:rPr>
      </w:pPr>
      <w:r w:rsidRPr="00004B74">
        <w:rPr>
          <w:rStyle w:val="FootnoteReference"/>
          <w:sz w:val="18"/>
          <w:szCs w:val="18"/>
        </w:rPr>
        <w:footnoteRef/>
      </w:r>
      <w:r w:rsidRPr="00004B74">
        <w:rPr>
          <w:sz w:val="18"/>
          <w:szCs w:val="18"/>
        </w:rPr>
        <w:t xml:space="preserve"> the </w:t>
      </w:r>
      <w:proofErr w:type="spellStart"/>
      <w:r w:rsidRPr="00004B74">
        <w:rPr>
          <w:sz w:val="18"/>
          <w:szCs w:val="18"/>
        </w:rPr>
        <w:t>SparkBlue</w:t>
      </w:r>
      <w:proofErr w:type="spellEnd"/>
      <w:r w:rsidRPr="00004B74">
        <w:rPr>
          <w:sz w:val="18"/>
          <w:szCs w:val="18"/>
        </w:rPr>
        <w:t xml:space="preserve"> </w:t>
      </w:r>
      <w:r>
        <w:rPr>
          <w:sz w:val="18"/>
          <w:szCs w:val="18"/>
        </w:rPr>
        <w:t>p</w:t>
      </w:r>
      <w:r w:rsidRPr="00004B74">
        <w:rPr>
          <w:sz w:val="18"/>
          <w:szCs w:val="18"/>
        </w:rPr>
        <w:t>latform</w:t>
      </w:r>
      <w:r>
        <w:rPr>
          <w:sz w:val="18"/>
          <w:szCs w:val="18"/>
        </w:rPr>
        <w:t xml:space="preserve"> – developed</w:t>
      </w:r>
      <w:r w:rsidRPr="00004B74">
        <w:rPr>
          <w:sz w:val="18"/>
          <w:szCs w:val="18"/>
        </w:rPr>
        <w:t xml:space="preserve"> by UNDP</w:t>
      </w:r>
    </w:p>
  </w:footnote>
  <w:footnote w:id="6">
    <w:p w14:paraId="64710206" w14:textId="2ACEB2BB" w:rsidR="00755F86" w:rsidRPr="00251E96" w:rsidRDefault="00755F86" w:rsidP="00B65D93">
      <w:pPr>
        <w:spacing w:after="60"/>
        <w:ind w:left="113" w:hanging="113"/>
        <w:rPr>
          <w:rFonts w:cstheme="minorHAnsi"/>
          <w:sz w:val="18"/>
          <w:szCs w:val="18"/>
        </w:rPr>
      </w:pPr>
      <w:r w:rsidRPr="00251E96">
        <w:rPr>
          <w:rStyle w:val="FootnoteReference"/>
          <w:rFonts w:cstheme="minorHAnsi"/>
          <w:sz w:val="18"/>
          <w:szCs w:val="18"/>
        </w:rPr>
        <w:footnoteRef/>
      </w:r>
      <w:r w:rsidRPr="00251E96">
        <w:rPr>
          <w:rFonts w:cstheme="minorHAnsi"/>
          <w:sz w:val="18"/>
          <w:szCs w:val="18"/>
        </w:rPr>
        <w:t xml:space="preserve"> </w:t>
      </w:r>
      <w:bookmarkStart w:id="0" w:name="_Hlk92917986"/>
      <w:r w:rsidRPr="00251E96">
        <w:rPr>
          <w:rFonts w:cstheme="minorHAnsi"/>
          <w:sz w:val="18"/>
          <w:szCs w:val="18"/>
          <w:shd w:val="clear" w:color="auto" w:fill="FFFFFF"/>
        </w:rPr>
        <w:t>Resilience Learning Labs (RLL) is an initiative of UNDRR and its Stakeholder Engagement Mechanism (SEM). RLL</w:t>
      </w:r>
      <w:r>
        <w:rPr>
          <w:rFonts w:cstheme="minorHAnsi"/>
          <w:sz w:val="18"/>
          <w:szCs w:val="18"/>
          <w:shd w:val="clear" w:color="auto" w:fill="FFFFFF"/>
        </w:rPr>
        <w:t xml:space="preserve"> is</w:t>
      </w:r>
      <w:r w:rsidRPr="00251E96">
        <w:rPr>
          <w:rFonts w:cstheme="minorHAnsi"/>
          <w:sz w:val="18"/>
          <w:szCs w:val="18"/>
          <w:shd w:val="clear" w:color="auto" w:fill="FFFFFF"/>
        </w:rPr>
        <w:t xml:space="preserve"> conceived as an open space for participation and exchange between stakeholders interested in DRR, resilience and systemic risk, especially in the context of the </w:t>
      </w:r>
      <w:r>
        <w:rPr>
          <w:rFonts w:cstheme="minorHAnsi"/>
          <w:sz w:val="18"/>
          <w:szCs w:val="18"/>
          <w:shd w:val="clear" w:color="auto" w:fill="FFFFFF"/>
        </w:rPr>
        <w:t>MTR SF</w:t>
      </w:r>
      <w:r w:rsidRPr="00251E96">
        <w:rPr>
          <w:rFonts w:cstheme="minorHAnsi"/>
          <w:sz w:val="18"/>
          <w:szCs w:val="18"/>
          <w:shd w:val="clear" w:color="auto" w:fill="FFFFFF"/>
        </w:rPr>
        <w:t xml:space="preserve">. </w:t>
      </w:r>
      <w:r>
        <w:rPr>
          <w:rFonts w:cstheme="minorHAnsi"/>
          <w:sz w:val="18"/>
          <w:szCs w:val="18"/>
          <w:shd w:val="clear" w:color="auto" w:fill="FFFFFF"/>
        </w:rPr>
        <w:t>RLL</w:t>
      </w:r>
      <w:r w:rsidRPr="00251E96">
        <w:rPr>
          <w:rFonts w:cstheme="minorHAnsi"/>
          <w:sz w:val="18"/>
          <w:szCs w:val="18"/>
          <w:shd w:val="clear" w:color="auto" w:fill="FFFFFF"/>
        </w:rPr>
        <w:t xml:space="preserve"> provide</w:t>
      </w:r>
      <w:r>
        <w:rPr>
          <w:rFonts w:cstheme="minorHAnsi"/>
          <w:sz w:val="18"/>
          <w:szCs w:val="18"/>
          <w:shd w:val="clear" w:color="auto" w:fill="FFFFFF"/>
        </w:rPr>
        <w:t>s</w:t>
      </w:r>
      <w:r w:rsidRPr="00251E96">
        <w:rPr>
          <w:rFonts w:cstheme="minorHAnsi"/>
          <w:sz w:val="18"/>
          <w:szCs w:val="18"/>
          <w:shd w:val="clear" w:color="auto" w:fill="FFFFFF"/>
        </w:rPr>
        <w:t xml:space="preserve"> an opportunity to lead positive transformations through joint actions, feedback on proposed initiatives, brainstorm on an emerging issue, </w:t>
      </w:r>
      <w:r>
        <w:rPr>
          <w:rFonts w:cstheme="minorHAnsi"/>
          <w:sz w:val="18"/>
          <w:szCs w:val="18"/>
          <w:shd w:val="clear" w:color="auto" w:fill="FFFFFF"/>
        </w:rPr>
        <w:t>and inform</w:t>
      </w:r>
      <w:r w:rsidRPr="00251E96">
        <w:rPr>
          <w:rFonts w:cstheme="minorHAnsi"/>
          <w:sz w:val="18"/>
          <w:szCs w:val="18"/>
          <w:shd w:val="clear" w:color="auto" w:fill="FFFFFF"/>
        </w:rPr>
        <w:t xml:space="preserve"> relevant deliberations</w:t>
      </w:r>
      <w:r>
        <w:rPr>
          <w:rFonts w:cstheme="minorHAnsi"/>
          <w:sz w:val="18"/>
          <w:szCs w:val="18"/>
          <w:shd w:val="clear" w:color="auto" w:fill="FFFFFF"/>
        </w:rPr>
        <w:t xml:space="preserve"> </w:t>
      </w:r>
      <w:r w:rsidRPr="00251E96">
        <w:rPr>
          <w:rFonts w:cstheme="minorHAnsi"/>
          <w:sz w:val="18"/>
          <w:szCs w:val="18"/>
          <w:shd w:val="clear" w:color="auto" w:fill="FFFFFF"/>
        </w:rPr>
        <w:t>/</w:t>
      </w:r>
      <w:r>
        <w:rPr>
          <w:rFonts w:cstheme="minorHAnsi"/>
          <w:sz w:val="18"/>
          <w:szCs w:val="18"/>
          <w:shd w:val="clear" w:color="auto" w:fill="FFFFFF"/>
        </w:rPr>
        <w:t xml:space="preserve"> </w:t>
      </w:r>
      <w:r w:rsidRPr="00251E96">
        <w:rPr>
          <w:rFonts w:cstheme="minorHAnsi"/>
          <w:sz w:val="18"/>
          <w:szCs w:val="18"/>
          <w:shd w:val="clear" w:color="auto" w:fill="FFFFFF"/>
        </w:rPr>
        <w:t xml:space="preserve">processes of UNDRR throughout the timeline of the MTR SF process, including the </w:t>
      </w:r>
      <w:r>
        <w:rPr>
          <w:rFonts w:cstheme="minorHAnsi"/>
          <w:sz w:val="18"/>
          <w:szCs w:val="18"/>
          <w:shd w:val="clear" w:color="auto" w:fill="FFFFFF"/>
        </w:rPr>
        <w:t xml:space="preserve">2022 </w:t>
      </w:r>
      <w:r w:rsidRPr="00251E96">
        <w:rPr>
          <w:rFonts w:cstheme="minorHAnsi"/>
          <w:sz w:val="18"/>
          <w:szCs w:val="18"/>
          <w:shd w:val="clear" w:color="auto" w:fill="FFFFFF"/>
        </w:rPr>
        <w:t xml:space="preserve">Global Platform and </w:t>
      </w:r>
      <w:r>
        <w:rPr>
          <w:rFonts w:cstheme="minorHAnsi"/>
          <w:sz w:val="18"/>
          <w:szCs w:val="18"/>
          <w:shd w:val="clear" w:color="auto" w:fill="FFFFFF"/>
        </w:rPr>
        <w:t>other relevant</w:t>
      </w:r>
      <w:r w:rsidRPr="00251E96">
        <w:rPr>
          <w:rFonts w:cstheme="minorHAnsi"/>
          <w:sz w:val="18"/>
          <w:szCs w:val="18"/>
          <w:shd w:val="clear" w:color="auto" w:fill="FFFFFF"/>
        </w:rPr>
        <w:t xml:space="preserve"> UN meetings</w:t>
      </w:r>
      <w:bookmarkEnd w:id="0"/>
      <w:r w:rsidRPr="00251E96">
        <w:rPr>
          <w:rFonts w:cstheme="minorHAnsi"/>
          <w:sz w:val="18"/>
          <w:szCs w:val="18"/>
          <w:shd w:val="clear" w:color="auto" w:fill="FFFFFF"/>
        </w:rPr>
        <w:t>.</w:t>
      </w:r>
    </w:p>
  </w:footnote>
  <w:footnote w:id="7">
    <w:p w14:paraId="24D886A8" w14:textId="544008A7" w:rsidR="00755F86" w:rsidRPr="0067311A" w:rsidRDefault="00755F86" w:rsidP="007A5E95">
      <w:pPr>
        <w:pStyle w:val="FootnoteText"/>
        <w:spacing w:after="60" w:line="259" w:lineRule="auto"/>
        <w:ind w:left="113" w:hanging="113"/>
        <w:rPr>
          <w:rFonts w:cstheme="minorHAnsi"/>
          <w:sz w:val="18"/>
          <w:szCs w:val="18"/>
        </w:rPr>
      </w:pPr>
      <w:r w:rsidRPr="0067311A">
        <w:rPr>
          <w:rStyle w:val="FootnoteReference"/>
          <w:rFonts w:cstheme="minorHAnsi"/>
          <w:sz w:val="18"/>
          <w:szCs w:val="18"/>
        </w:rPr>
        <w:footnoteRef/>
      </w:r>
      <w:r w:rsidRPr="0067311A">
        <w:rPr>
          <w:rFonts w:cstheme="minorHAnsi"/>
          <w:sz w:val="18"/>
          <w:szCs w:val="18"/>
        </w:rPr>
        <w:t xml:space="preserve"> </w:t>
      </w:r>
      <w:r w:rsidRPr="0067311A">
        <w:rPr>
          <w:rFonts w:cstheme="minorHAnsi"/>
          <w:sz w:val="18"/>
          <w:szCs w:val="18"/>
          <w:lang w:val="en-GB"/>
        </w:rPr>
        <w:t>see the Concept Note of the MTR SF</w:t>
      </w:r>
      <w:r>
        <w:rPr>
          <w:rFonts w:cstheme="minorHAnsi"/>
          <w:sz w:val="18"/>
          <w:szCs w:val="18"/>
          <w:lang w:val="en-GB"/>
        </w:rPr>
        <w:t xml:space="preserve"> (Annex II)</w:t>
      </w:r>
    </w:p>
  </w:footnote>
  <w:footnote w:id="8">
    <w:p w14:paraId="494B9892" w14:textId="4F7CD16B" w:rsidR="00755F86" w:rsidRPr="00742823" w:rsidRDefault="00755F86" w:rsidP="00B65D93">
      <w:pPr>
        <w:pStyle w:val="FootnoteText"/>
        <w:spacing w:after="60" w:line="259" w:lineRule="auto"/>
        <w:ind w:left="113" w:hanging="113"/>
        <w:rPr>
          <w:rFonts w:cstheme="minorHAnsi"/>
          <w:sz w:val="18"/>
          <w:szCs w:val="18"/>
        </w:rPr>
      </w:pPr>
      <w:r w:rsidRPr="00742823">
        <w:rPr>
          <w:rStyle w:val="FootnoteReference"/>
          <w:rFonts w:cstheme="minorHAnsi"/>
          <w:sz w:val="18"/>
          <w:szCs w:val="18"/>
        </w:rPr>
        <w:footnoteRef/>
      </w:r>
      <w:r w:rsidRPr="00742823">
        <w:rPr>
          <w:rFonts w:cstheme="minorHAnsi"/>
          <w:sz w:val="18"/>
          <w:szCs w:val="18"/>
        </w:rPr>
        <w:t xml:space="preserve"> inter alia in</w:t>
      </w:r>
      <w:r w:rsidRPr="00742823">
        <w:rPr>
          <w:rFonts w:cstheme="minorHAnsi"/>
          <w:sz w:val="18"/>
          <w:szCs w:val="18"/>
          <w:lang w:val="en-GB"/>
        </w:rPr>
        <w:t xml:space="preserve"> Paragraphs 19 (d) and (e)</w:t>
      </w:r>
    </w:p>
  </w:footnote>
  <w:footnote w:id="9">
    <w:p w14:paraId="205E2FB3" w14:textId="65FEDCF4" w:rsidR="00755F86" w:rsidRPr="00742823" w:rsidRDefault="00755F86">
      <w:pPr>
        <w:pStyle w:val="FootnoteText"/>
        <w:rPr>
          <w:sz w:val="18"/>
          <w:szCs w:val="18"/>
        </w:rPr>
      </w:pPr>
      <w:r w:rsidRPr="00742823">
        <w:rPr>
          <w:rStyle w:val="FootnoteReference"/>
          <w:sz w:val="18"/>
          <w:szCs w:val="18"/>
        </w:rPr>
        <w:footnoteRef/>
      </w:r>
      <w:r w:rsidRPr="00742823">
        <w:rPr>
          <w:sz w:val="18"/>
          <w:szCs w:val="18"/>
        </w:rPr>
        <w:t xml:space="preserve"> </w:t>
      </w:r>
      <w:r w:rsidRPr="00742823">
        <w:rPr>
          <w:sz w:val="18"/>
          <w:szCs w:val="18"/>
          <w:lang w:val="en-GB"/>
        </w:rPr>
        <w:t>in line with the structure recommended to Member States for the voluntary national report of the MTR SF</w:t>
      </w:r>
    </w:p>
  </w:footnote>
  <w:footnote w:id="10">
    <w:p w14:paraId="09CDDA6D" w14:textId="0F7C966F" w:rsidR="00755F86" w:rsidRPr="00BE414D" w:rsidRDefault="00755F86" w:rsidP="00BE414D">
      <w:pPr>
        <w:spacing w:before="60" w:after="0"/>
        <w:rPr>
          <w:sz w:val="18"/>
          <w:szCs w:val="18"/>
          <w:lang w:val="en-GB"/>
        </w:rPr>
      </w:pPr>
      <w:r w:rsidRPr="00BE414D">
        <w:rPr>
          <w:rStyle w:val="FootnoteReference"/>
          <w:sz w:val="18"/>
          <w:szCs w:val="18"/>
        </w:rPr>
        <w:footnoteRef/>
      </w:r>
      <w:r w:rsidRPr="00BE414D">
        <w:rPr>
          <w:sz w:val="18"/>
          <w:szCs w:val="18"/>
        </w:rPr>
        <w:t xml:space="preserve"> </w:t>
      </w:r>
      <w:r w:rsidRPr="00BE414D">
        <w:rPr>
          <w:sz w:val="18"/>
          <w:szCs w:val="18"/>
          <w:lang w:val="en-CA"/>
        </w:rPr>
        <w:t>The systemic nature of risk is based on the notion that the risk [for instance arising from a policy, action or a hazard event], depends on how the elements of the affected systems* interact with each other, either aggravating or mitigating the overall effect of the constituent parts</w:t>
      </w:r>
      <w:r>
        <w:rPr>
          <w:sz w:val="18"/>
          <w:szCs w:val="18"/>
          <w:lang w:val="en-CA"/>
        </w:rPr>
        <w:t xml:space="preserve">. </w:t>
      </w:r>
      <w:r w:rsidRPr="00BE414D">
        <w:rPr>
          <w:sz w:val="18"/>
          <w:szCs w:val="18"/>
        </w:rPr>
        <w:t xml:space="preserve">[adapted from, UNDRR and the </w:t>
      </w:r>
      <w:r>
        <w:rPr>
          <w:sz w:val="18"/>
          <w:szCs w:val="18"/>
        </w:rPr>
        <w:t>International Council for Science</w:t>
      </w:r>
      <w:r w:rsidRPr="00BE414D">
        <w:rPr>
          <w:sz w:val="18"/>
          <w:szCs w:val="18"/>
        </w:rPr>
        <w:t xml:space="preserve"> (forthcoming 2022)</w:t>
      </w:r>
      <w:r>
        <w:rPr>
          <w:sz w:val="18"/>
          <w:szCs w:val="18"/>
        </w:rPr>
        <w:t>]</w:t>
      </w:r>
    </w:p>
    <w:p w14:paraId="44181BD5" w14:textId="27EC48DA" w:rsidR="00755F86" w:rsidRPr="00BE414D" w:rsidRDefault="00755F86" w:rsidP="00BE414D">
      <w:pPr>
        <w:spacing w:before="60" w:after="0"/>
        <w:rPr>
          <w:sz w:val="18"/>
          <w:szCs w:val="18"/>
        </w:rPr>
      </w:pPr>
      <w:r w:rsidRPr="00BE414D">
        <w:rPr>
          <w:sz w:val="18"/>
          <w:szCs w:val="18"/>
          <w:lang w:val="en-CA"/>
        </w:rPr>
        <w:t xml:space="preserve">* </w:t>
      </w:r>
      <w:proofErr w:type="gramStart"/>
      <w:r w:rsidRPr="00BE414D">
        <w:rPr>
          <w:sz w:val="18"/>
          <w:szCs w:val="18"/>
          <w:lang w:val="en-CA"/>
        </w:rPr>
        <w:t>these</w:t>
      </w:r>
      <w:proofErr w:type="gramEnd"/>
      <w:r w:rsidRPr="00BE414D">
        <w:rPr>
          <w:sz w:val="18"/>
          <w:szCs w:val="18"/>
          <w:lang w:val="en-CA"/>
        </w:rPr>
        <w:t xml:space="preserve"> could be inter alia social, natural, economic, political and governance systems, and/or food systems, energy systems, climate systems (non-exhaustive)</w:t>
      </w:r>
    </w:p>
  </w:footnote>
  <w:footnote w:id="11">
    <w:p w14:paraId="0E928679" w14:textId="7400151A" w:rsidR="00755F86" w:rsidRPr="00DE3FFB" w:rsidRDefault="00755F86" w:rsidP="00976DCE">
      <w:pPr>
        <w:spacing w:after="60"/>
        <w:ind w:left="112" w:hanging="112"/>
        <w:rPr>
          <w:sz w:val="18"/>
          <w:szCs w:val="18"/>
          <w:lang w:val="en-GB"/>
        </w:rPr>
      </w:pPr>
      <w:r w:rsidRPr="00E40E04">
        <w:rPr>
          <w:rStyle w:val="FootnoteReference"/>
          <w:sz w:val="18"/>
          <w:szCs w:val="18"/>
          <w:lang w:val="en-GB"/>
        </w:rPr>
        <w:footnoteRef/>
      </w:r>
      <w:r w:rsidRPr="00E40E04">
        <w:rPr>
          <w:sz w:val="18"/>
          <w:szCs w:val="18"/>
          <w:lang w:val="en-GB"/>
        </w:rPr>
        <w:t>The stakeholder report will be positioned to add value to the reports submitted by Member States and the scope of the MTR SF. The structure of the stakeholder report will be finalised in consultation with stakeholders and as inputs are received.</w:t>
      </w:r>
    </w:p>
  </w:footnote>
  <w:footnote w:id="12">
    <w:p w14:paraId="74792C82" w14:textId="3EE8E7E5" w:rsidR="00755F86" w:rsidRPr="00F059FF" w:rsidRDefault="00755F86" w:rsidP="00976DCE">
      <w:pPr>
        <w:pStyle w:val="FootnoteText"/>
        <w:spacing w:after="60"/>
        <w:rPr>
          <w:sz w:val="18"/>
          <w:szCs w:val="18"/>
        </w:rPr>
      </w:pPr>
      <w:r w:rsidRPr="00F059FF">
        <w:rPr>
          <w:rStyle w:val="FootnoteReference"/>
          <w:sz w:val="18"/>
          <w:szCs w:val="18"/>
        </w:rPr>
        <w:footnoteRef/>
      </w:r>
      <w:r w:rsidRPr="00F059FF">
        <w:rPr>
          <w:sz w:val="18"/>
          <w:szCs w:val="18"/>
        </w:rPr>
        <w:t xml:space="preserve"> </w:t>
      </w:r>
      <w:r>
        <w:rPr>
          <w:sz w:val="18"/>
          <w:szCs w:val="18"/>
          <w:lang w:val="en-GB"/>
        </w:rPr>
        <w:t>see</w:t>
      </w:r>
      <w:r w:rsidRPr="00F059FF">
        <w:rPr>
          <w:sz w:val="18"/>
          <w:szCs w:val="18"/>
          <w:lang w:val="en-GB"/>
        </w:rPr>
        <w:t xml:space="preserve"> Section 3.8</w:t>
      </w:r>
      <w:r>
        <w:rPr>
          <w:sz w:val="18"/>
          <w:szCs w:val="18"/>
          <w:lang w:val="en-GB"/>
        </w:rPr>
        <w:t xml:space="preserve"> of the Concept Note</w:t>
      </w:r>
    </w:p>
  </w:footnote>
  <w:footnote w:id="13">
    <w:p w14:paraId="2444A242" w14:textId="37AC1058" w:rsidR="00755F86" w:rsidRPr="00F059FF" w:rsidRDefault="00755F86" w:rsidP="00DE3FFB">
      <w:pPr>
        <w:pStyle w:val="FootnoteText"/>
        <w:spacing w:after="60"/>
        <w:rPr>
          <w:sz w:val="18"/>
          <w:szCs w:val="18"/>
        </w:rPr>
      </w:pPr>
      <w:r w:rsidRPr="00F059FF">
        <w:rPr>
          <w:rStyle w:val="FootnoteReference"/>
          <w:sz w:val="18"/>
          <w:szCs w:val="18"/>
        </w:rPr>
        <w:footnoteRef/>
      </w:r>
      <w:r w:rsidRPr="00F059FF">
        <w:rPr>
          <w:sz w:val="18"/>
          <w:szCs w:val="18"/>
        </w:rPr>
        <w:t xml:space="preserve"> Arabic, Chinese, English, French, Russian, Spanish</w:t>
      </w:r>
    </w:p>
  </w:footnote>
  <w:footnote w:id="14">
    <w:p w14:paraId="38F3B72E" w14:textId="77777777" w:rsidR="00755F86" w:rsidRPr="00D832D4" w:rsidRDefault="00755F86" w:rsidP="004B444A">
      <w:pPr>
        <w:autoSpaceDE w:val="0"/>
        <w:autoSpaceDN w:val="0"/>
        <w:adjustRightInd w:val="0"/>
        <w:spacing w:after="0" w:line="240" w:lineRule="auto"/>
        <w:rPr>
          <w:rFonts w:ascii="Calibri" w:hAnsi="Calibri" w:cs="Calibri"/>
          <w:sz w:val="18"/>
          <w:szCs w:val="18"/>
        </w:rPr>
      </w:pPr>
      <w:r w:rsidRPr="00D832D4">
        <w:rPr>
          <w:rStyle w:val="FootnoteReference"/>
          <w:rFonts w:ascii="Calibri" w:hAnsi="Calibri" w:cs="Calibri"/>
          <w:sz w:val="18"/>
          <w:szCs w:val="18"/>
        </w:rPr>
        <w:footnoteRef/>
      </w:r>
      <w:r w:rsidRPr="00D832D4">
        <w:rPr>
          <w:rFonts w:ascii="Calibri" w:hAnsi="Calibri" w:cs="Calibri"/>
          <w:sz w:val="18"/>
          <w:szCs w:val="18"/>
        </w:rPr>
        <w:t xml:space="preserve"> UNGA Resolutions </w:t>
      </w:r>
      <w:r>
        <w:rPr>
          <w:rFonts w:ascii="Calibri" w:hAnsi="Calibri" w:cs="Calibri"/>
          <w:sz w:val="18"/>
          <w:szCs w:val="18"/>
        </w:rPr>
        <w:t>A/RES/</w:t>
      </w:r>
      <w:r w:rsidRPr="00D832D4">
        <w:rPr>
          <w:rFonts w:ascii="Calibri" w:hAnsi="Calibri" w:cs="Calibri"/>
          <w:sz w:val="18"/>
          <w:szCs w:val="18"/>
        </w:rPr>
        <w:t xml:space="preserve">67/209 of 21 December 2012, </w:t>
      </w:r>
      <w:r>
        <w:rPr>
          <w:rFonts w:ascii="Calibri" w:hAnsi="Calibri" w:cs="Calibri"/>
          <w:sz w:val="18"/>
          <w:szCs w:val="18"/>
        </w:rPr>
        <w:t>A/RES/</w:t>
      </w:r>
      <w:r w:rsidRPr="00D832D4">
        <w:rPr>
          <w:rFonts w:ascii="Calibri" w:hAnsi="Calibri" w:cs="Calibri"/>
          <w:sz w:val="18"/>
          <w:szCs w:val="18"/>
        </w:rPr>
        <w:t xml:space="preserve">68/211 of 20 December 2013 and </w:t>
      </w:r>
      <w:r>
        <w:rPr>
          <w:rFonts w:ascii="Calibri" w:hAnsi="Calibri" w:cs="Calibri"/>
          <w:sz w:val="18"/>
          <w:szCs w:val="18"/>
        </w:rPr>
        <w:t>A/RES/</w:t>
      </w:r>
      <w:r w:rsidRPr="00D832D4">
        <w:rPr>
          <w:rFonts w:ascii="Calibri" w:hAnsi="Calibri" w:cs="Calibri"/>
          <w:sz w:val="18"/>
          <w:szCs w:val="18"/>
        </w:rPr>
        <w:t>69/219 of 19</w:t>
      </w:r>
      <w:r>
        <w:rPr>
          <w:rFonts w:ascii="Calibri" w:hAnsi="Calibri" w:cs="Calibri"/>
          <w:sz w:val="18"/>
          <w:szCs w:val="18"/>
        </w:rPr>
        <w:t> </w:t>
      </w:r>
      <w:r w:rsidRPr="00D832D4">
        <w:rPr>
          <w:rFonts w:ascii="Calibri" w:hAnsi="Calibri" w:cs="Calibri"/>
          <w:sz w:val="18"/>
          <w:szCs w:val="18"/>
        </w:rPr>
        <w:t xml:space="preserve">December 2014, as well as its decision </w:t>
      </w:r>
      <w:r>
        <w:rPr>
          <w:rFonts w:ascii="Calibri" w:hAnsi="Calibri" w:cs="Calibri"/>
          <w:sz w:val="18"/>
          <w:szCs w:val="18"/>
        </w:rPr>
        <w:t>A/RES/</w:t>
      </w:r>
      <w:r w:rsidRPr="00D832D4">
        <w:rPr>
          <w:rFonts w:ascii="Calibri" w:hAnsi="Calibri" w:cs="Calibri"/>
          <w:sz w:val="18"/>
          <w:szCs w:val="18"/>
        </w:rPr>
        <w:t>69/556 of 5 March 2015</w:t>
      </w:r>
    </w:p>
  </w:footnote>
  <w:footnote w:id="15">
    <w:p w14:paraId="78C72F48" w14:textId="77777777" w:rsidR="00755F86" w:rsidRPr="00D832D4" w:rsidRDefault="00755F86" w:rsidP="004B444A">
      <w:pPr>
        <w:pStyle w:val="FootnoteText"/>
        <w:rPr>
          <w:rFonts w:ascii="Calibri" w:hAnsi="Calibri" w:cs="Calibri"/>
          <w:sz w:val="18"/>
          <w:szCs w:val="18"/>
          <w:lang w:val="en-GB"/>
        </w:rPr>
      </w:pPr>
      <w:r w:rsidRPr="00D832D4">
        <w:rPr>
          <w:rStyle w:val="FootnoteReference"/>
          <w:rFonts w:ascii="Calibri" w:hAnsi="Calibri" w:cs="Calibri"/>
          <w:sz w:val="18"/>
          <w:szCs w:val="18"/>
          <w:lang w:val="en-GB"/>
        </w:rPr>
        <w:footnoteRef/>
      </w:r>
      <w:r w:rsidRPr="00D832D4">
        <w:rPr>
          <w:rFonts w:ascii="Calibri" w:hAnsi="Calibri" w:cs="Calibri"/>
          <w:sz w:val="18"/>
          <w:szCs w:val="18"/>
          <w:lang w:val="en-GB"/>
        </w:rPr>
        <w:t xml:space="preserve"> A/CONF.224/L.1</w:t>
      </w:r>
    </w:p>
  </w:footnote>
  <w:footnote w:id="16">
    <w:p w14:paraId="0C6DD99E" w14:textId="77777777" w:rsidR="00755F86" w:rsidRPr="00D832D4" w:rsidRDefault="00755F86" w:rsidP="004B444A">
      <w:pPr>
        <w:pStyle w:val="FootnoteText"/>
        <w:rPr>
          <w:rFonts w:ascii="Calibri" w:hAnsi="Calibri" w:cs="Calibri"/>
          <w:sz w:val="18"/>
          <w:szCs w:val="18"/>
          <w:lang w:val="en-GB"/>
        </w:rPr>
      </w:pPr>
      <w:r w:rsidRPr="00D832D4">
        <w:rPr>
          <w:rStyle w:val="FootnoteReference"/>
          <w:rFonts w:ascii="Calibri" w:hAnsi="Calibri" w:cs="Calibri"/>
          <w:sz w:val="18"/>
          <w:szCs w:val="18"/>
          <w:lang w:val="en-GB"/>
        </w:rPr>
        <w:footnoteRef/>
      </w:r>
      <w:r w:rsidRPr="00D832D4">
        <w:rPr>
          <w:rFonts w:ascii="Calibri" w:hAnsi="Calibri" w:cs="Calibri"/>
          <w:sz w:val="18"/>
          <w:szCs w:val="18"/>
          <w:lang w:val="en-GB"/>
        </w:rPr>
        <w:t xml:space="preserve"> UNGA Resolution A/RES/69/283</w:t>
      </w:r>
    </w:p>
  </w:footnote>
  <w:footnote w:id="17">
    <w:p w14:paraId="6D422AA2" w14:textId="77777777" w:rsidR="00755F86" w:rsidRPr="00D832D4" w:rsidRDefault="00755F86" w:rsidP="004B444A">
      <w:pPr>
        <w:pStyle w:val="FootnoteText"/>
        <w:rPr>
          <w:rFonts w:ascii="Calibri" w:hAnsi="Calibri" w:cs="Calibri"/>
          <w:sz w:val="18"/>
          <w:szCs w:val="18"/>
          <w:lang w:val="en-GB"/>
        </w:rPr>
      </w:pPr>
      <w:r w:rsidRPr="00D832D4">
        <w:rPr>
          <w:rStyle w:val="FootnoteReference"/>
          <w:rFonts w:ascii="Calibri" w:hAnsi="Calibri" w:cs="Calibri"/>
          <w:sz w:val="18"/>
          <w:szCs w:val="18"/>
          <w:lang w:val="en-GB"/>
        </w:rPr>
        <w:footnoteRef/>
      </w:r>
      <w:r w:rsidRPr="00D832D4">
        <w:rPr>
          <w:rFonts w:ascii="Calibri" w:hAnsi="Calibri" w:cs="Calibri"/>
          <w:sz w:val="18"/>
          <w:szCs w:val="18"/>
          <w:lang w:val="en-GB"/>
        </w:rPr>
        <w:t xml:space="preserve"> Para 49 of the Sendai Framework</w:t>
      </w:r>
    </w:p>
  </w:footnote>
  <w:footnote w:id="18">
    <w:p w14:paraId="1E6A7773" w14:textId="77777777" w:rsidR="00755F86" w:rsidRPr="00D832D4" w:rsidRDefault="00755F86" w:rsidP="004B444A">
      <w:pPr>
        <w:pStyle w:val="FootnoteText"/>
        <w:rPr>
          <w:rFonts w:ascii="Calibri" w:hAnsi="Calibri" w:cs="Calibri"/>
          <w:sz w:val="18"/>
          <w:szCs w:val="18"/>
          <w:lang w:val="en-GB"/>
        </w:rPr>
      </w:pPr>
      <w:r w:rsidRPr="00D832D4">
        <w:rPr>
          <w:rStyle w:val="FootnoteReference"/>
          <w:rFonts w:ascii="Calibri" w:hAnsi="Calibri" w:cs="Calibri"/>
          <w:sz w:val="18"/>
          <w:szCs w:val="18"/>
          <w:lang w:val="en-GB"/>
        </w:rPr>
        <w:footnoteRef/>
      </w:r>
      <w:r w:rsidRPr="00D832D4">
        <w:rPr>
          <w:rFonts w:ascii="Calibri" w:hAnsi="Calibri" w:cs="Calibri"/>
          <w:sz w:val="18"/>
          <w:szCs w:val="18"/>
          <w:lang w:val="en-GB"/>
        </w:rPr>
        <w:t xml:space="preserve"> Para 48(c) of the Sendai Framework</w:t>
      </w:r>
    </w:p>
  </w:footnote>
  <w:footnote w:id="19">
    <w:p w14:paraId="75752E25" w14:textId="77777777" w:rsidR="00755F86" w:rsidRPr="00086B91" w:rsidRDefault="00755F86" w:rsidP="004B444A">
      <w:pPr>
        <w:pStyle w:val="FootnoteText"/>
        <w:jc w:val="both"/>
        <w:rPr>
          <w:sz w:val="18"/>
          <w:szCs w:val="18"/>
          <w:lang w:val="en-GB"/>
        </w:rPr>
      </w:pPr>
      <w:r w:rsidRPr="00D832D4">
        <w:rPr>
          <w:rStyle w:val="FootnoteReference"/>
          <w:sz w:val="18"/>
          <w:szCs w:val="18"/>
          <w:lang w:val="en-GB"/>
        </w:rPr>
        <w:footnoteRef/>
      </w:r>
      <w:r w:rsidRPr="00D832D4">
        <w:rPr>
          <w:sz w:val="18"/>
          <w:szCs w:val="18"/>
          <w:lang w:val="en-GB"/>
        </w:rPr>
        <w:t xml:space="preserve"> </w:t>
      </w:r>
      <w:r w:rsidRPr="00D832D4">
        <w:rPr>
          <w:rFonts w:cstheme="minorHAnsi"/>
          <w:sz w:val="18"/>
          <w:szCs w:val="18"/>
          <w:lang w:val="en-GB"/>
        </w:rPr>
        <w:t>including but not restricted to sustainable development, climate change, water for development and fin</w:t>
      </w:r>
      <w:r w:rsidRPr="00086B91">
        <w:rPr>
          <w:rFonts w:cstheme="minorHAnsi"/>
          <w:sz w:val="18"/>
          <w:szCs w:val="18"/>
          <w:lang w:val="en-GB"/>
        </w:rPr>
        <w:t xml:space="preserve">ancing for sustainable development, </w:t>
      </w:r>
      <w:r>
        <w:rPr>
          <w:rFonts w:cstheme="minorHAnsi"/>
          <w:sz w:val="18"/>
          <w:szCs w:val="18"/>
          <w:lang w:val="en-GB"/>
        </w:rPr>
        <w:t xml:space="preserve">and is the period in which </w:t>
      </w:r>
      <w:r w:rsidRPr="009C209D">
        <w:rPr>
          <w:rFonts w:cs="Segoe UI"/>
          <w:color w:val="212529"/>
          <w:sz w:val="18"/>
          <w:szCs w:val="18"/>
          <w:shd w:val="clear" w:color="auto" w:fill="FFFFFF"/>
          <w:lang w:val="en-GB"/>
        </w:rPr>
        <w:t>the post-2020 global biodiversity framework</w:t>
      </w:r>
      <w:r>
        <w:rPr>
          <w:rFonts w:cs="Segoe UI"/>
          <w:color w:val="212529"/>
          <w:sz w:val="18"/>
          <w:szCs w:val="18"/>
          <w:shd w:val="clear" w:color="auto" w:fill="FFFFFF"/>
          <w:lang w:val="en-GB"/>
        </w:rPr>
        <w:t xml:space="preserve"> will be developed and adopted</w:t>
      </w:r>
    </w:p>
  </w:footnote>
  <w:footnote w:id="20">
    <w:p w14:paraId="2B784A90" w14:textId="77777777" w:rsidR="00755F86" w:rsidRPr="00C72137" w:rsidRDefault="00755F86" w:rsidP="004B444A">
      <w:pPr>
        <w:pStyle w:val="FootnoteText"/>
        <w:rPr>
          <w:rFonts w:ascii="Calibri" w:hAnsi="Calibri" w:cs="Calibri"/>
          <w:sz w:val="18"/>
          <w:szCs w:val="18"/>
          <w:lang w:val="en-GB"/>
        </w:rPr>
      </w:pPr>
      <w:r w:rsidRPr="00C72137">
        <w:rPr>
          <w:rStyle w:val="FootnoteReference"/>
          <w:rFonts w:ascii="Calibri" w:hAnsi="Calibri" w:cs="Calibri"/>
          <w:sz w:val="18"/>
          <w:szCs w:val="18"/>
          <w:lang w:val="en-GB"/>
        </w:rPr>
        <w:footnoteRef/>
      </w:r>
      <w:r w:rsidRPr="00C72137">
        <w:rPr>
          <w:rFonts w:ascii="Calibri" w:hAnsi="Calibri" w:cs="Calibri"/>
          <w:sz w:val="18"/>
          <w:szCs w:val="18"/>
          <w:lang w:val="en-GB"/>
        </w:rPr>
        <w:t xml:space="preserve"> UNGA Resolution </w:t>
      </w:r>
      <w:hyperlink r:id="rId2" w:history="1">
        <w:r w:rsidRPr="00BD344B">
          <w:rPr>
            <w:rStyle w:val="Hyperlink"/>
            <w:rFonts w:ascii="Calibri" w:hAnsi="Calibri" w:cs="Calibri"/>
            <w:sz w:val="18"/>
            <w:szCs w:val="18"/>
            <w:lang w:val="en-GB"/>
          </w:rPr>
          <w:t>A/RES/</w:t>
        </w:r>
        <w:r w:rsidRPr="00086B91">
          <w:rPr>
            <w:rStyle w:val="Hyperlink"/>
            <w:rFonts w:ascii="Calibri" w:hAnsi="Calibri" w:cs="Calibri"/>
            <w:sz w:val="18"/>
            <w:szCs w:val="18"/>
            <w:lang w:val="en-GB"/>
          </w:rPr>
          <w:t>75/216</w:t>
        </w:r>
      </w:hyperlink>
      <w:r w:rsidRPr="00C72137">
        <w:rPr>
          <w:rFonts w:ascii="Calibri" w:hAnsi="Calibri" w:cs="Calibri"/>
          <w:sz w:val="18"/>
          <w:szCs w:val="18"/>
          <w:lang w:val="en-GB"/>
        </w:rPr>
        <w:t xml:space="preserve"> of 29 December 2020</w:t>
      </w:r>
    </w:p>
  </w:footnote>
  <w:footnote w:id="21">
    <w:p w14:paraId="40D13960" w14:textId="77777777" w:rsidR="00755F86" w:rsidRPr="00D832D4" w:rsidRDefault="00755F86" w:rsidP="004B444A">
      <w:pPr>
        <w:pStyle w:val="FootnoteText"/>
        <w:rPr>
          <w:sz w:val="18"/>
          <w:szCs w:val="18"/>
          <w:lang w:val="en-GB"/>
        </w:rPr>
      </w:pPr>
      <w:r w:rsidRPr="00D832D4">
        <w:rPr>
          <w:rStyle w:val="FootnoteReference"/>
          <w:sz w:val="18"/>
          <w:szCs w:val="18"/>
          <w:lang w:val="en-GB"/>
        </w:rPr>
        <w:footnoteRef/>
      </w:r>
      <w:r w:rsidRPr="00D832D4">
        <w:rPr>
          <w:sz w:val="18"/>
          <w:szCs w:val="18"/>
          <w:lang w:val="en-GB"/>
        </w:rPr>
        <w:t xml:space="preserve"> Report of the </w:t>
      </w:r>
      <w:r w:rsidRPr="00D832D4">
        <w:rPr>
          <w:rFonts w:cstheme="minorHAnsi"/>
          <w:sz w:val="18"/>
          <w:szCs w:val="18"/>
          <w:lang w:val="en-GB"/>
        </w:rPr>
        <w:t xml:space="preserve">Secretary-General 2020 </w:t>
      </w:r>
      <w:r>
        <w:rPr>
          <w:rFonts w:cstheme="minorHAnsi"/>
          <w:sz w:val="18"/>
          <w:szCs w:val="18"/>
          <w:lang w:val="en-GB"/>
        </w:rPr>
        <w:t>(</w:t>
      </w:r>
      <w:hyperlink r:id="rId3" w:history="1">
        <w:r w:rsidRPr="00D832D4">
          <w:rPr>
            <w:rStyle w:val="Hyperlink"/>
            <w:rFonts w:cstheme="minorHAnsi"/>
            <w:sz w:val="18"/>
            <w:szCs w:val="18"/>
            <w:lang w:val="en-GB"/>
          </w:rPr>
          <w:t>A/75/226</w:t>
        </w:r>
      </w:hyperlink>
      <w:r>
        <w:rPr>
          <w:rStyle w:val="Hyperlink"/>
          <w:rFonts w:cstheme="minorHAnsi"/>
          <w:sz w:val="18"/>
          <w:szCs w:val="18"/>
          <w:lang w:val="en-GB"/>
        </w:rPr>
        <w:t>)</w:t>
      </w:r>
    </w:p>
  </w:footnote>
  <w:footnote w:id="22">
    <w:p w14:paraId="3592E128" w14:textId="77777777" w:rsidR="00755F86" w:rsidRPr="00D90BC8" w:rsidRDefault="00755F86" w:rsidP="004B444A">
      <w:pPr>
        <w:pStyle w:val="FootnoteText"/>
        <w:rPr>
          <w:sz w:val="18"/>
          <w:szCs w:val="18"/>
          <w:lang w:val="en-GB"/>
        </w:rPr>
      </w:pPr>
      <w:r w:rsidRPr="00D90BC8">
        <w:rPr>
          <w:rStyle w:val="FootnoteReference"/>
          <w:sz w:val="18"/>
          <w:szCs w:val="18"/>
        </w:rPr>
        <w:footnoteRef/>
      </w:r>
      <w:r w:rsidRPr="00D90BC8">
        <w:rPr>
          <w:sz w:val="18"/>
          <w:szCs w:val="18"/>
          <w:lang w:val="en-GB"/>
        </w:rPr>
        <w:t xml:space="preserve"> Report of the Secretary-General 202</w:t>
      </w:r>
      <w:r w:rsidRPr="00564565">
        <w:rPr>
          <w:sz w:val="18"/>
          <w:szCs w:val="18"/>
          <w:lang w:val="en-GB"/>
        </w:rPr>
        <w:t>1 (</w:t>
      </w:r>
      <w:hyperlink r:id="rId4" w:history="1">
        <w:r w:rsidRPr="00AE57C5">
          <w:rPr>
            <w:rStyle w:val="Hyperlink"/>
            <w:sz w:val="18"/>
            <w:szCs w:val="18"/>
            <w:lang w:val="en-GB"/>
          </w:rPr>
          <w:t>A/76/240</w:t>
        </w:r>
      </w:hyperlink>
      <w:r w:rsidRPr="00D90BC8">
        <w:rPr>
          <w:sz w:val="18"/>
          <w:szCs w:val="18"/>
          <w:lang w:val="en-GB"/>
        </w:rPr>
        <w:t>)</w:t>
      </w:r>
    </w:p>
  </w:footnote>
  <w:footnote w:id="23">
    <w:p w14:paraId="5ED487BB" w14:textId="77777777" w:rsidR="00755F86" w:rsidRPr="00C72137" w:rsidRDefault="00755F86" w:rsidP="004B444A">
      <w:pPr>
        <w:pStyle w:val="FootnoteText"/>
        <w:rPr>
          <w:rFonts w:ascii="Calibri" w:hAnsi="Calibri" w:cs="Calibri"/>
          <w:sz w:val="18"/>
          <w:szCs w:val="18"/>
          <w:lang w:val="en-GB"/>
        </w:rPr>
      </w:pPr>
      <w:r w:rsidRPr="00C72137">
        <w:rPr>
          <w:rStyle w:val="FootnoteReference"/>
          <w:rFonts w:ascii="Calibri" w:hAnsi="Calibri" w:cs="Calibri"/>
          <w:lang w:val="en-GB"/>
        </w:rPr>
        <w:footnoteRef/>
      </w:r>
      <w:r w:rsidRPr="00C72137">
        <w:rPr>
          <w:rFonts w:ascii="Calibri" w:hAnsi="Calibri" w:cs="Calibri"/>
          <w:lang w:val="en-GB"/>
        </w:rPr>
        <w:t xml:space="preserve"> </w:t>
      </w:r>
      <w:r w:rsidRPr="00C72137">
        <w:rPr>
          <w:rFonts w:ascii="Calibri" w:hAnsi="Calibri" w:cs="Calibri"/>
          <w:sz w:val="18"/>
          <w:szCs w:val="18"/>
          <w:lang w:val="en-GB"/>
        </w:rPr>
        <w:t xml:space="preserve">UNGA Resolution </w:t>
      </w:r>
      <w:hyperlink r:id="rId5" w:history="1">
        <w:r w:rsidRPr="00D81537">
          <w:rPr>
            <w:rStyle w:val="Hyperlink"/>
            <w:rFonts w:ascii="Calibri" w:hAnsi="Calibri" w:cs="Calibri"/>
            <w:sz w:val="18"/>
            <w:szCs w:val="18"/>
            <w:lang w:val="en-GB"/>
          </w:rPr>
          <w:t>A/RES/69/283</w:t>
        </w:r>
      </w:hyperlink>
    </w:p>
  </w:footnote>
  <w:footnote w:id="24">
    <w:p w14:paraId="1A6806B9" w14:textId="77777777" w:rsidR="00755F86" w:rsidRPr="00C72137" w:rsidRDefault="00755F86" w:rsidP="004B444A">
      <w:pPr>
        <w:pStyle w:val="FootnoteText"/>
        <w:rPr>
          <w:rFonts w:ascii="Calibri" w:hAnsi="Calibri" w:cs="Calibri"/>
          <w:lang w:val="en-GB"/>
        </w:rPr>
      </w:pPr>
      <w:r w:rsidRPr="00C72137">
        <w:rPr>
          <w:rStyle w:val="FootnoteReference"/>
          <w:rFonts w:ascii="Calibri" w:hAnsi="Calibri" w:cs="Calibri"/>
          <w:lang w:val="en-GB"/>
        </w:rPr>
        <w:footnoteRef/>
      </w:r>
      <w:r w:rsidRPr="00C72137">
        <w:rPr>
          <w:rFonts w:ascii="Calibri" w:hAnsi="Calibri" w:cs="Calibri"/>
          <w:lang w:val="en-GB"/>
        </w:rPr>
        <w:t xml:space="preserve"> </w:t>
      </w:r>
      <w:r w:rsidRPr="00C72137">
        <w:rPr>
          <w:rFonts w:ascii="Calibri" w:hAnsi="Calibri" w:cs="Calibri"/>
          <w:sz w:val="18"/>
          <w:szCs w:val="18"/>
          <w:lang w:val="en-GB"/>
        </w:rPr>
        <w:t xml:space="preserve">UNGA Resolution </w:t>
      </w:r>
      <w:hyperlink r:id="rId6" w:history="1">
        <w:r w:rsidRPr="00A4674A">
          <w:rPr>
            <w:rStyle w:val="Hyperlink"/>
            <w:rFonts w:ascii="Calibri" w:hAnsi="Calibri" w:cs="Calibri"/>
            <w:sz w:val="18"/>
            <w:szCs w:val="18"/>
            <w:lang w:val="en-GB"/>
          </w:rPr>
          <w:t>A/RES/71/276</w:t>
        </w:r>
      </w:hyperlink>
    </w:p>
  </w:footnote>
  <w:footnote w:id="25">
    <w:p w14:paraId="23D6AF5D" w14:textId="77777777" w:rsidR="00755F86" w:rsidRPr="008E3450" w:rsidRDefault="00755F86" w:rsidP="004B444A">
      <w:pPr>
        <w:pStyle w:val="FootnoteText"/>
        <w:jc w:val="both"/>
        <w:rPr>
          <w:sz w:val="18"/>
          <w:szCs w:val="18"/>
          <w:lang w:val="en-GB"/>
        </w:rPr>
      </w:pPr>
      <w:r w:rsidRPr="008E3450">
        <w:rPr>
          <w:rStyle w:val="FootnoteReference"/>
          <w:sz w:val="18"/>
          <w:szCs w:val="18"/>
        </w:rPr>
        <w:footnoteRef/>
      </w:r>
      <w:r w:rsidRPr="008E3450">
        <w:rPr>
          <w:sz w:val="18"/>
          <w:szCs w:val="18"/>
          <w:lang w:val="en-GB"/>
        </w:rPr>
        <w:t xml:space="preserve"> </w:t>
      </w:r>
      <w:r w:rsidRPr="008E3450">
        <w:rPr>
          <w:rFonts w:cs="Helvetica"/>
          <w:sz w:val="18"/>
          <w:szCs w:val="18"/>
          <w:lang w:val="en-GB"/>
        </w:rPr>
        <w:t>Priority 1: Understanding disaster risk; Priority 2: Strengthening disaster risk governance to manage disaster risk; Priority 3: Investing in disaster risk reduction for resilience; and Priority 4: Enhancing disaster preparedness for effective response and to “Build Back Better” in recovery, rehabilitation and reconstruction</w:t>
      </w:r>
    </w:p>
  </w:footnote>
  <w:footnote w:id="26">
    <w:p w14:paraId="7E12598C" w14:textId="77777777" w:rsidR="00755F86" w:rsidRPr="00D832D4" w:rsidRDefault="00755F86" w:rsidP="004B444A">
      <w:pPr>
        <w:pStyle w:val="FootnoteText"/>
        <w:rPr>
          <w:lang w:val="en-GB"/>
        </w:rPr>
      </w:pPr>
      <w:r w:rsidRPr="00D832D4">
        <w:rPr>
          <w:rStyle w:val="FootnoteReference"/>
          <w:lang w:val="en-GB"/>
        </w:rPr>
        <w:footnoteRef/>
      </w:r>
      <w:r w:rsidRPr="00D832D4">
        <w:rPr>
          <w:lang w:val="en-GB"/>
        </w:rPr>
        <w:t xml:space="preserve"> </w:t>
      </w:r>
      <w:r w:rsidRPr="00D832D4">
        <w:rPr>
          <w:sz w:val="18"/>
          <w:szCs w:val="18"/>
          <w:lang w:val="en-GB"/>
        </w:rPr>
        <w:t xml:space="preserve">Report of the </w:t>
      </w:r>
      <w:r w:rsidRPr="00D832D4">
        <w:rPr>
          <w:rFonts w:cstheme="minorHAnsi"/>
          <w:sz w:val="18"/>
          <w:szCs w:val="18"/>
          <w:lang w:val="en-GB"/>
        </w:rPr>
        <w:t>Secretary-General 2020</w:t>
      </w:r>
      <w:r>
        <w:rPr>
          <w:rFonts w:cstheme="minorHAnsi"/>
          <w:sz w:val="18"/>
          <w:szCs w:val="18"/>
          <w:lang w:val="en-GB"/>
        </w:rPr>
        <w:t xml:space="preserve"> </w:t>
      </w:r>
      <w:hyperlink r:id="rId7" w:history="1">
        <w:r w:rsidRPr="0056008F">
          <w:rPr>
            <w:rStyle w:val="Hyperlink"/>
            <w:rFonts w:cstheme="minorHAnsi"/>
            <w:sz w:val="18"/>
            <w:szCs w:val="18"/>
            <w:lang w:val="en-GB"/>
          </w:rPr>
          <w:t>A/76/226</w:t>
        </w:r>
      </w:hyperlink>
    </w:p>
  </w:footnote>
  <w:footnote w:id="27">
    <w:p w14:paraId="21025D1A" w14:textId="77777777" w:rsidR="00755F86" w:rsidRPr="00C22EF3" w:rsidRDefault="00755F86" w:rsidP="004B444A">
      <w:pPr>
        <w:pStyle w:val="FootnoteText"/>
        <w:rPr>
          <w:lang w:val="en-GB"/>
        </w:rPr>
      </w:pPr>
      <w:r>
        <w:rPr>
          <w:rStyle w:val="FootnoteReference"/>
        </w:rPr>
        <w:footnoteRef/>
      </w:r>
      <w:r w:rsidRPr="00C22EF3">
        <w:rPr>
          <w:lang w:val="en-GB"/>
        </w:rPr>
        <w:t xml:space="preserve"> </w:t>
      </w:r>
      <w:r>
        <w:rPr>
          <w:lang w:val="en-GB"/>
        </w:rPr>
        <w:t>including but not restricted to women, indigenous peoples, the elderly, disabled, children and youth</w:t>
      </w:r>
    </w:p>
  </w:footnote>
  <w:footnote w:id="28">
    <w:p w14:paraId="72BA710E" w14:textId="77777777" w:rsidR="00755F86" w:rsidRPr="00BD1550" w:rsidRDefault="00755F86" w:rsidP="004B444A">
      <w:pPr>
        <w:pStyle w:val="FootnoteText"/>
        <w:jc w:val="both"/>
        <w:rPr>
          <w:sz w:val="18"/>
          <w:szCs w:val="18"/>
          <w:lang w:val="en-GB"/>
        </w:rPr>
      </w:pPr>
      <w:r w:rsidRPr="00BD1550">
        <w:rPr>
          <w:rStyle w:val="FootnoteReference"/>
          <w:sz w:val="18"/>
          <w:szCs w:val="18"/>
        </w:rPr>
        <w:footnoteRef/>
      </w:r>
      <w:r w:rsidRPr="00BD1550">
        <w:rPr>
          <w:sz w:val="18"/>
          <w:szCs w:val="18"/>
          <w:lang w:val="en-GB"/>
        </w:rPr>
        <w:t xml:space="preserve"> noting that some Member States and stakeholders have already begun consultations, some in the context of deliberations on regional strategies, programmes and plans for disaster risk reduction, and others for the MTR SF</w:t>
      </w:r>
    </w:p>
  </w:footnote>
  <w:footnote w:id="29">
    <w:p w14:paraId="75901248" w14:textId="77777777" w:rsidR="00755F86" w:rsidRPr="00E47EC8" w:rsidRDefault="00755F86" w:rsidP="004B444A">
      <w:pPr>
        <w:pStyle w:val="FootnoteText"/>
        <w:rPr>
          <w:rFonts w:cstheme="minorHAnsi"/>
          <w:sz w:val="18"/>
          <w:szCs w:val="18"/>
          <w:lang w:val="en-GB"/>
        </w:rPr>
      </w:pPr>
      <w:r w:rsidRPr="00E47EC8">
        <w:rPr>
          <w:rStyle w:val="FootnoteReference"/>
          <w:rFonts w:cstheme="minorHAnsi"/>
          <w:sz w:val="18"/>
          <w:szCs w:val="18"/>
          <w:lang w:val="en-GB"/>
        </w:rPr>
        <w:footnoteRef/>
      </w:r>
      <w:r w:rsidRPr="00E47EC8">
        <w:rPr>
          <w:rFonts w:cstheme="minorHAnsi"/>
          <w:sz w:val="18"/>
          <w:szCs w:val="18"/>
          <w:lang w:val="en-GB"/>
        </w:rPr>
        <w:t xml:space="preserve"> Paragraph 15 of the Sendai Framework</w:t>
      </w:r>
    </w:p>
  </w:footnote>
  <w:footnote w:id="30">
    <w:p w14:paraId="331A3916" w14:textId="77777777" w:rsidR="00755F86" w:rsidRPr="00E47EC8" w:rsidRDefault="00755F86" w:rsidP="004B444A">
      <w:pPr>
        <w:pStyle w:val="FootnoteText"/>
        <w:rPr>
          <w:rFonts w:cstheme="minorHAnsi"/>
          <w:sz w:val="18"/>
          <w:szCs w:val="18"/>
          <w:lang w:val="en-GB"/>
        </w:rPr>
      </w:pPr>
      <w:r w:rsidRPr="00E47EC8">
        <w:rPr>
          <w:rStyle w:val="FootnoteReference"/>
          <w:rFonts w:cstheme="minorHAnsi"/>
          <w:sz w:val="18"/>
          <w:szCs w:val="18"/>
          <w:lang w:val="en-GB"/>
        </w:rPr>
        <w:footnoteRef/>
      </w:r>
      <w:r w:rsidRPr="00E47EC8">
        <w:rPr>
          <w:rFonts w:cstheme="minorHAnsi"/>
          <w:sz w:val="18"/>
          <w:szCs w:val="18"/>
          <w:lang w:val="en-GB"/>
        </w:rPr>
        <w:t xml:space="preserve"> UNGA Resolution A/RES/70/204</w:t>
      </w:r>
    </w:p>
  </w:footnote>
  <w:footnote w:id="31">
    <w:p w14:paraId="100CCE3F" w14:textId="77777777" w:rsidR="00755F86" w:rsidRPr="00E47EC8" w:rsidRDefault="00755F86" w:rsidP="004B444A">
      <w:pPr>
        <w:pStyle w:val="FootnoteText"/>
        <w:jc w:val="both"/>
        <w:rPr>
          <w:rFonts w:cstheme="minorHAnsi"/>
          <w:sz w:val="18"/>
          <w:szCs w:val="18"/>
          <w:lang w:val="en-GB"/>
        </w:rPr>
      </w:pPr>
      <w:r w:rsidRPr="00E47EC8">
        <w:rPr>
          <w:rStyle w:val="FootnoteReference"/>
          <w:rFonts w:cstheme="minorHAnsi"/>
          <w:sz w:val="18"/>
          <w:szCs w:val="18"/>
          <w:lang w:val="en-GB"/>
        </w:rPr>
        <w:footnoteRef/>
      </w:r>
      <w:r w:rsidRPr="00E47EC8">
        <w:rPr>
          <w:rFonts w:cstheme="minorHAnsi"/>
          <w:sz w:val="18"/>
          <w:szCs w:val="18"/>
          <w:lang w:val="en-GB"/>
        </w:rPr>
        <w:t xml:space="preserve"> </w:t>
      </w:r>
      <w:r>
        <w:rPr>
          <w:rFonts w:cstheme="minorHAnsi"/>
          <w:sz w:val="18"/>
          <w:szCs w:val="18"/>
          <w:lang w:val="en-GB"/>
        </w:rPr>
        <w:t>notably</w:t>
      </w:r>
      <w:r w:rsidRPr="00E47EC8">
        <w:rPr>
          <w:rFonts w:cstheme="minorHAnsi"/>
          <w:sz w:val="18"/>
          <w:szCs w:val="18"/>
          <w:lang w:val="en-GB"/>
        </w:rPr>
        <w:t xml:space="preserve"> </w:t>
      </w:r>
      <w:r w:rsidRPr="00E47EC8">
        <w:rPr>
          <w:rFonts w:cstheme="minorHAnsi"/>
          <w:sz w:val="18"/>
          <w:szCs w:val="18"/>
          <w:shd w:val="clear" w:color="auto" w:fill="FBFBFB"/>
          <w:lang w:val="en-GB"/>
        </w:rPr>
        <w:t xml:space="preserve">the 2023 edition of the Global Sustainable Development Report (GSDR) to be completed by the end of April 2023, </w:t>
      </w:r>
      <w:r>
        <w:rPr>
          <w:rFonts w:cstheme="minorHAnsi"/>
          <w:sz w:val="18"/>
          <w:szCs w:val="18"/>
          <w:shd w:val="clear" w:color="auto" w:fill="FBFBFB"/>
          <w:lang w:val="en-GB"/>
        </w:rPr>
        <w:t xml:space="preserve">and </w:t>
      </w:r>
      <w:r w:rsidRPr="00E47EC8">
        <w:rPr>
          <w:rFonts w:cstheme="minorHAnsi"/>
          <w:sz w:val="18"/>
          <w:szCs w:val="18"/>
          <w:shd w:val="clear" w:color="auto" w:fill="FBFBFB"/>
          <w:lang w:val="en-GB"/>
        </w:rPr>
        <w:t>which will inform negotiations for the 2023 SDG</w:t>
      </w:r>
      <w:r>
        <w:rPr>
          <w:rFonts w:cstheme="minorHAnsi"/>
          <w:sz w:val="18"/>
          <w:szCs w:val="18"/>
          <w:shd w:val="clear" w:color="auto" w:fill="FBFBFB"/>
          <w:lang w:val="en-GB"/>
        </w:rPr>
        <w:t>s</w:t>
      </w:r>
      <w:r w:rsidRPr="00E47EC8">
        <w:rPr>
          <w:rFonts w:cstheme="minorHAnsi"/>
          <w:sz w:val="18"/>
          <w:szCs w:val="18"/>
          <w:shd w:val="clear" w:color="auto" w:fill="FBFBFB"/>
          <w:lang w:val="en-GB"/>
        </w:rPr>
        <w:t xml:space="preserve"> Summit</w:t>
      </w:r>
    </w:p>
  </w:footnote>
  <w:footnote w:id="32">
    <w:p w14:paraId="565104C7" w14:textId="77777777" w:rsidR="00755F86" w:rsidRPr="009C209D" w:rsidRDefault="00755F86" w:rsidP="004B444A">
      <w:pPr>
        <w:pStyle w:val="FootnoteText"/>
        <w:rPr>
          <w:sz w:val="18"/>
          <w:szCs w:val="18"/>
        </w:rPr>
      </w:pPr>
      <w:r w:rsidRPr="009C209D">
        <w:rPr>
          <w:rStyle w:val="FootnoteReference"/>
          <w:sz w:val="18"/>
          <w:szCs w:val="18"/>
        </w:rPr>
        <w:footnoteRef/>
      </w:r>
      <w:r w:rsidRPr="009C209D">
        <w:rPr>
          <w:sz w:val="18"/>
          <w:szCs w:val="18"/>
          <w:lang w:val="en-GB"/>
        </w:rPr>
        <w:t xml:space="preserve"> e.g.</w:t>
      </w:r>
      <w:r>
        <w:rPr>
          <w:sz w:val="18"/>
          <w:szCs w:val="18"/>
          <w:lang w:val="en-GB"/>
        </w:rPr>
        <w:t>,</w:t>
      </w:r>
      <w:r w:rsidRPr="009C209D">
        <w:rPr>
          <w:sz w:val="18"/>
          <w:szCs w:val="18"/>
          <w:lang w:val="en-GB"/>
        </w:rPr>
        <w:t xml:space="preserve"> the </w:t>
      </w:r>
      <w:r w:rsidRPr="009C209D">
        <w:rPr>
          <w:sz w:val="18"/>
          <w:szCs w:val="18"/>
        </w:rPr>
        <w:t xml:space="preserve">UN Joint study on gender equality and women's empowerment and leadership in </w:t>
      </w:r>
      <w:r>
        <w:rPr>
          <w:sz w:val="18"/>
          <w:szCs w:val="18"/>
        </w:rPr>
        <w:t>disaster risk reduction</w:t>
      </w:r>
    </w:p>
  </w:footnote>
  <w:footnote w:id="33">
    <w:p w14:paraId="7D31217A" w14:textId="77777777" w:rsidR="00755F86" w:rsidRPr="00107BB5" w:rsidRDefault="00755F86" w:rsidP="004B444A">
      <w:pPr>
        <w:pStyle w:val="FootnoteText"/>
        <w:rPr>
          <w:sz w:val="18"/>
          <w:szCs w:val="18"/>
          <w:lang w:val="en-GB"/>
        </w:rPr>
      </w:pPr>
      <w:r w:rsidRPr="00107BB5">
        <w:rPr>
          <w:rStyle w:val="FootnoteReference"/>
          <w:sz w:val="18"/>
          <w:szCs w:val="18"/>
        </w:rPr>
        <w:footnoteRef/>
      </w:r>
      <w:r w:rsidRPr="00107BB5">
        <w:rPr>
          <w:sz w:val="18"/>
          <w:szCs w:val="18"/>
          <w:lang w:val="en-GB"/>
        </w:rPr>
        <w:t xml:space="preserve"> </w:t>
      </w:r>
      <w:r w:rsidRPr="00107BB5">
        <w:rPr>
          <w:sz w:val="18"/>
          <w:szCs w:val="18"/>
        </w:rPr>
        <w:t>including through enhanced multi-hazard early warning systems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B9E0C" w14:textId="12A7CC93" w:rsidR="00755F86" w:rsidRDefault="00755F86" w:rsidP="00DA2FE0">
    <w:pPr>
      <w:pStyle w:val="Header"/>
    </w:pPr>
    <w:r w:rsidRPr="002C4D3E">
      <w:rPr>
        <w:noProof/>
        <w:sz w:val="16"/>
        <w:szCs w:val="16"/>
      </w:rPr>
      <w:drawing>
        <wp:inline distT="0" distB="0" distL="0" distR="0" wp14:anchorId="15B2325C" wp14:editId="4006CB5B">
          <wp:extent cx="6022731" cy="45719"/>
          <wp:effectExtent l="0" t="0" r="0" b="0"/>
          <wp:docPr id="9" name="image1.jpg" descr="Barr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8" name="image1.jpg" descr="Barre.jpg"/>
                  <pic:cNvPicPr>
                    <a:picLocks noChangeAspect="1"/>
                  </pic:cNvPicPr>
                </pic:nvPicPr>
                <pic:blipFill>
                  <a:blip r:embed="rId1"/>
                  <a:stretch>
                    <a:fillRect/>
                  </a:stretch>
                </pic:blipFill>
                <pic:spPr>
                  <a:xfrm>
                    <a:off x="0" y="0"/>
                    <a:ext cx="293655993" cy="2229165"/>
                  </a:xfrm>
                  <a:prstGeom prst="rect">
                    <a:avLst/>
                  </a:prstGeom>
                  <a:ln w="12700">
                    <a:miter lim="400000"/>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47B2" w14:textId="77777777" w:rsidR="00755F86" w:rsidRPr="00CC57A0" w:rsidRDefault="00755F86" w:rsidP="004B444A">
    <w:pPr>
      <w:pStyle w:val="Header"/>
    </w:pPr>
    <w:r w:rsidRPr="002C4D3E">
      <w:rPr>
        <w:noProof/>
        <w:sz w:val="16"/>
        <w:szCs w:val="16"/>
      </w:rPr>
      <w:drawing>
        <wp:inline distT="0" distB="0" distL="0" distR="0" wp14:anchorId="133A6D35" wp14:editId="437C522F">
          <wp:extent cx="5773851" cy="45719"/>
          <wp:effectExtent l="0" t="0" r="0" b="0"/>
          <wp:docPr id="17" name="image1.jpg" descr="Barr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8" name="image1.jpg" descr="Barre.jpg"/>
                  <pic:cNvPicPr>
                    <a:picLocks noChangeAspect="1"/>
                  </pic:cNvPicPr>
                </pic:nvPicPr>
                <pic:blipFill>
                  <a:blip r:embed="rId1"/>
                  <a:stretch>
                    <a:fillRect/>
                  </a:stretch>
                </pic:blipFill>
                <pic:spPr>
                  <a:xfrm>
                    <a:off x="0" y="0"/>
                    <a:ext cx="64543420" cy="511073"/>
                  </a:xfrm>
                  <a:prstGeom prst="rect">
                    <a:avLst/>
                  </a:prstGeom>
                  <a:ln w="12700">
                    <a:miter lim="400000"/>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C60DF" w14:textId="77777777" w:rsidR="00755F86" w:rsidRPr="00CC57A0" w:rsidRDefault="00755F86" w:rsidP="004B444A">
    <w:pPr>
      <w:pStyle w:val="Header"/>
    </w:pPr>
    <w:r w:rsidRPr="002C4D3E">
      <w:rPr>
        <w:noProof/>
        <w:sz w:val="16"/>
        <w:szCs w:val="16"/>
      </w:rPr>
      <w:drawing>
        <wp:inline distT="0" distB="0" distL="0" distR="0" wp14:anchorId="39DDC896" wp14:editId="0C64E9AD">
          <wp:extent cx="8979243" cy="45719"/>
          <wp:effectExtent l="0" t="0" r="0" b="0"/>
          <wp:docPr id="4" name="image1.jpg" descr="Barr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8" name="image1.jpg" descr="Barre.jpg"/>
                  <pic:cNvPicPr>
                    <a:picLocks noChangeAspect="1"/>
                  </pic:cNvPicPr>
                </pic:nvPicPr>
                <pic:blipFill>
                  <a:blip r:embed="rId1"/>
                  <a:stretch>
                    <a:fillRect/>
                  </a:stretch>
                </pic:blipFill>
                <pic:spPr>
                  <a:xfrm>
                    <a:off x="0" y="0"/>
                    <a:ext cx="232009419" cy="1181307"/>
                  </a:xfrm>
                  <a:prstGeom prst="rect">
                    <a:avLst/>
                  </a:prstGeom>
                  <a:ln w="12700">
                    <a:miter lim="400000"/>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CBB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5545DD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3EA61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4673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464F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58799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A8511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18825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46BD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79011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82CF2"/>
    <w:multiLevelType w:val="hybridMultilevel"/>
    <w:tmpl w:val="A4DE817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E670F0"/>
    <w:multiLevelType w:val="multilevel"/>
    <w:tmpl w:val="285A81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266339B"/>
    <w:multiLevelType w:val="multilevel"/>
    <w:tmpl w:val="201C55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2D67B2A"/>
    <w:multiLevelType w:val="hybridMultilevel"/>
    <w:tmpl w:val="2740158C"/>
    <w:lvl w:ilvl="0" w:tplc="4F8042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49C7575"/>
    <w:multiLevelType w:val="multilevel"/>
    <w:tmpl w:val="AAC02010"/>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04AA1FCE"/>
    <w:multiLevelType w:val="hybridMultilevel"/>
    <w:tmpl w:val="693E0E86"/>
    <w:lvl w:ilvl="0" w:tplc="9A5C26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7E04947"/>
    <w:multiLevelType w:val="multilevel"/>
    <w:tmpl w:val="BB5A0D5A"/>
    <w:lvl w:ilvl="0">
      <w:start w:val="1"/>
      <w:numFmt w:val="bullet"/>
      <w:lvlText w:val="▫"/>
      <w:lvlJc w:val="left"/>
      <w:pPr>
        <w:ind w:left="1440" w:hanging="360"/>
      </w:pPr>
      <w:rPr>
        <w:rFonts w:ascii="Calibri" w:hAnsi="Calibri"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520" w:hanging="1440"/>
      </w:pPr>
      <w:rPr>
        <w:rFonts w:hint="default"/>
      </w:rPr>
    </w:lvl>
  </w:abstractNum>
  <w:abstractNum w:abstractNumId="17" w15:restartNumberingAfterBreak="0">
    <w:nsid w:val="0DF6474B"/>
    <w:multiLevelType w:val="hybridMultilevel"/>
    <w:tmpl w:val="E44E2190"/>
    <w:lvl w:ilvl="0" w:tplc="9F6431B8">
      <w:start w:val="1"/>
      <w:numFmt w:val="lowerRoman"/>
      <w:lvlText w:val="%1."/>
      <w:lvlJc w:val="right"/>
      <w:pPr>
        <w:ind w:left="1800" w:hanging="360"/>
      </w:pPr>
      <w:rPr>
        <w:rFonts w:hint="default"/>
        <w:b w:val="0"/>
        <w:bCs w:val="0"/>
        <w:i w:val="0"/>
        <w:iCs w:val="0"/>
        <w:w w:val="102"/>
        <w:sz w:val="21"/>
        <w:szCs w:val="21"/>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10A4225B"/>
    <w:multiLevelType w:val="multilevel"/>
    <w:tmpl w:val="2692FACE"/>
    <w:styleLink w:val="MG1"/>
    <w:lvl w:ilvl="0">
      <w:start w:val="1"/>
      <w:numFmt w:val="bullet"/>
      <w:lvlText w:val="▫"/>
      <w:lvlJc w:val="left"/>
      <w:pPr>
        <w:ind w:left="360" w:hanging="360"/>
      </w:pPr>
      <w:rPr>
        <w:rFonts w:ascii="Calibri" w:hAnsi="Calibri" w:cs="Times New Roman" w:hint="default"/>
      </w:rPr>
    </w:lvl>
    <w:lvl w:ilvl="1">
      <w:start w:val="1"/>
      <w:numFmt w:val="bullet"/>
      <w:lvlText w:val="‐"/>
      <w:lvlJc w:val="left"/>
      <w:pPr>
        <w:ind w:left="1080" w:hanging="360"/>
      </w:pPr>
      <w:rPr>
        <w:rFonts w:ascii="Calibri" w:hAnsi="Calibr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1164665C"/>
    <w:multiLevelType w:val="hybridMultilevel"/>
    <w:tmpl w:val="693E0E86"/>
    <w:lvl w:ilvl="0" w:tplc="9A5C26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373521E"/>
    <w:multiLevelType w:val="hybridMultilevel"/>
    <w:tmpl w:val="2740158C"/>
    <w:lvl w:ilvl="0" w:tplc="4F8042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6947067"/>
    <w:multiLevelType w:val="hybridMultilevel"/>
    <w:tmpl w:val="EEA836F8"/>
    <w:lvl w:ilvl="0" w:tplc="E2C0961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85C3521"/>
    <w:multiLevelType w:val="multilevel"/>
    <w:tmpl w:val="B254F8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7"/>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9963E5A"/>
    <w:multiLevelType w:val="hybridMultilevel"/>
    <w:tmpl w:val="E1E220E4"/>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546212B"/>
    <w:multiLevelType w:val="hybridMultilevel"/>
    <w:tmpl w:val="D51055A4"/>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5C948BE"/>
    <w:multiLevelType w:val="hybridMultilevel"/>
    <w:tmpl w:val="BC20B5A0"/>
    <w:lvl w:ilvl="0" w:tplc="E2C09614">
      <w:start w:val="1"/>
      <w:numFmt w:val="bullet"/>
      <w:lvlText w:val="▫"/>
      <w:lvlJc w:val="left"/>
      <w:pPr>
        <w:ind w:left="1603" w:hanging="360"/>
      </w:pPr>
      <w:rPr>
        <w:rFonts w:ascii="Calibri" w:hAnsi="Calibri" w:hint="default"/>
      </w:rPr>
    </w:lvl>
    <w:lvl w:ilvl="1" w:tplc="08090003" w:tentative="1">
      <w:start w:val="1"/>
      <w:numFmt w:val="bullet"/>
      <w:lvlText w:val="o"/>
      <w:lvlJc w:val="left"/>
      <w:pPr>
        <w:ind w:left="2323" w:hanging="360"/>
      </w:pPr>
      <w:rPr>
        <w:rFonts w:ascii="Courier New" w:hAnsi="Courier New" w:cs="Courier New" w:hint="default"/>
      </w:rPr>
    </w:lvl>
    <w:lvl w:ilvl="2" w:tplc="08090005" w:tentative="1">
      <w:start w:val="1"/>
      <w:numFmt w:val="bullet"/>
      <w:lvlText w:val=""/>
      <w:lvlJc w:val="left"/>
      <w:pPr>
        <w:ind w:left="3043" w:hanging="360"/>
      </w:pPr>
      <w:rPr>
        <w:rFonts w:ascii="Wingdings" w:hAnsi="Wingdings" w:hint="default"/>
      </w:rPr>
    </w:lvl>
    <w:lvl w:ilvl="3" w:tplc="08090001" w:tentative="1">
      <w:start w:val="1"/>
      <w:numFmt w:val="bullet"/>
      <w:lvlText w:val=""/>
      <w:lvlJc w:val="left"/>
      <w:pPr>
        <w:ind w:left="3763" w:hanging="360"/>
      </w:pPr>
      <w:rPr>
        <w:rFonts w:ascii="Symbol" w:hAnsi="Symbol" w:hint="default"/>
      </w:rPr>
    </w:lvl>
    <w:lvl w:ilvl="4" w:tplc="08090003" w:tentative="1">
      <w:start w:val="1"/>
      <w:numFmt w:val="bullet"/>
      <w:lvlText w:val="o"/>
      <w:lvlJc w:val="left"/>
      <w:pPr>
        <w:ind w:left="4483" w:hanging="360"/>
      </w:pPr>
      <w:rPr>
        <w:rFonts w:ascii="Courier New" w:hAnsi="Courier New" w:cs="Courier New" w:hint="default"/>
      </w:rPr>
    </w:lvl>
    <w:lvl w:ilvl="5" w:tplc="08090005" w:tentative="1">
      <w:start w:val="1"/>
      <w:numFmt w:val="bullet"/>
      <w:lvlText w:val=""/>
      <w:lvlJc w:val="left"/>
      <w:pPr>
        <w:ind w:left="5203" w:hanging="360"/>
      </w:pPr>
      <w:rPr>
        <w:rFonts w:ascii="Wingdings" w:hAnsi="Wingdings" w:hint="default"/>
      </w:rPr>
    </w:lvl>
    <w:lvl w:ilvl="6" w:tplc="08090001" w:tentative="1">
      <w:start w:val="1"/>
      <w:numFmt w:val="bullet"/>
      <w:lvlText w:val=""/>
      <w:lvlJc w:val="left"/>
      <w:pPr>
        <w:ind w:left="5923" w:hanging="360"/>
      </w:pPr>
      <w:rPr>
        <w:rFonts w:ascii="Symbol" w:hAnsi="Symbol" w:hint="default"/>
      </w:rPr>
    </w:lvl>
    <w:lvl w:ilvl="7" w:tplc="08090003" w:tentative="1">
      <w:start w:val="1"/>
      <w:numFmt w:val="bullet"/>
      <w:lvlText w:val="o"/>
      <w:lvlJc w:val="left"/>
      <w:pPr>
        <w:ind w:left="6643" w:hanging="360"/>
      </w:pPr>
      <w:rPr>
        <w:rFonts w:ascii="Courier New" w:hAnsi="Courier New" w:cs="Courier New" w:hint="default"/>
      </w:rPr>
    </w:lvl>
    <w:lvl w:ilvl="8" w:tplc="08090005" w:tentative="1">
      <w:start w:val="1"/>
      <w:numFmt w:val="bullet"/>
      <w:lvlText w:val=""/>
      <w:lvlJc w:val="left"/>
      <w:pPr>
        <w:ind w:left="7363" w:hanging="360"/>
      </w:pPr>
      <w:rPr>
        <w:rFonts w:ascii="Wingdings" w:hAnsi="Wingdings" w:hint="default"/>
      </w:rPr>
    </w:lvl>
  </w:abstractNum>
  <w:abstractNum w:abstractNumId="26" w15:restartNumberingAfterBreak="0">
    <w:nsid w:val="26152CC7"/>
    <w:multiLevelType w:val="multilevel"/>
    <w:tmpl w:val="92EA885C"/>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D2C30EF"/>
    <w:multiLevelType w:val="multilevel"/>
    <w:tmpl w:val="0F92B1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0BC5D0F"/>
    <w:multiLevelType w:val="hybridMultilevel"/>
    <w:tmpl w:val="A12A477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1B76995"/>
    <w:multiLevelType w:val="multilevel"/>
    <w:tmpl w:val="B2CE27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2D55135"/>
    <w:multiLevelType w:val="hybridMultilevel"/>
    <w:tmpl w:val="693E0E86"/>
    <w:lvl w:ilvl="0" w:tplc="9A5C26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61F7897"/>
    <w:multiLevelType w:val="hybridMultilevel"/>
    <w:tmpl w:val="1384053C"/>
    <w:lvl w:ilvl="0" w:tplc="E2C09614">
      <w:start w:val="1"/>
      <w:numFmt w:val="bullet"/>
      <w:lvlText w:val="▫"/>
      <w:lvlJc w:val="left"/>
      <w:pPr>
        <w:ind w:left="720" w:hanging="360"/>
      </w:pPr>
      <w:rPr>
        <w:rFonts w:ascii="Calibri" w:hAnsi="Calibri" w:hint="default"/>
      </w:rPr>
    </w:lvl>
    <w:lvl w:ilvl="1" w:tplc="B8D8EBCE">
      <w:start w:val="1"/>
      <w:numFmt w:val="bullet"/>
      <w:lvlText w:val="‐"/>
      <w:lvlJc w:val="left"/>
      <w:pPr>
        <w:ind w:left="1440" w:hanging="360"/>
      </w:pPr>
      <w:rPr>
        <w:rFonts w:ascii="Calibri" w:hAnsi="Calibri" w:hint="default"/>
      </w:rPr>
    </w:lvl>
    <w:lvl w:ilvl="2" w:tplc="08090005">
      <w:start w:val="1"/>
      <w:numFmt w:val="bullet"/>
      <w:lvlText w:val=""/>
      <w:lvlJc w:val="left"/>
      <w:pPr>
        <w:ind w:left="2160" w:hanging="360"/>
      </w:pPr>
      <w:rPr>
        <w:rFonts w:ascii="Wingdings" w:hAnsi="Wingdings" w:hint="default"/>
      </w:rPr>
    </w:lvl>
    <w:lvl w:ilvl="3" w:tplc="B8D8EBCE">
      <w:start w:val="1"/>
      <w:numFmt w:val="bullet"/>
      <w:lvlText w:val="‐"/>
      <w:lvlJc w:val="left"/>
      <w:pPr>
        <w:ind w:left="2880" w:hanging="360"/>
      </w:pPr>
      <w:rPr>
        <w:rFonts w:ascii="Calibri" w:hAnsi="Calibr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6C2707A"/>
    <w:multiLevelType w:val="hybridMultilevel"/>
    <w:tmpl w:val="693E0E86"/>
    <w:lvl w:ilvl="0" w:tplc="9A5C26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0222C6A"/>
    <w:multiLevelType w:val="hybridMultilevel"/>
    <w:tmpl w:val="1EBC9392"/>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1DD71D9"/>
    <w:multiLevelType w:val="hybridMultilevel"/>
    <w:tmpl w:val="41A4818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3C050FD"/>
    <w:multiLevelType w:val="hybridMultilevel"/>
    <w:tmpl w:val="A12A477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4C62590"/>
    <w:multiLevelType w:val="hybridMultilevel"/>
    <w:tmpl w:val="80C0A4EA"/>
    <w:lvl w:ilvl="0" w:tplc="E2C09614">
      <w:start w:val="1"/>
      <w:numFmt w:val="bullet"/>
      <w:lvlText w:val="▫"/>
      <w:lvlJc w:val="left"/>
      <w:pPr>
        <w:ind w:left="720" w:hanging="360"/>
      </w:pPr>
      <w:rPr>
        <w:rFonts w:ascii="Calibri" w:hAnsi="Calibri" w:hint="default"/>
      </w:rPr>
    </w:lvl>
    <w:lvl w:ilvl="1" w:tplc="B8D8EBCE">
      <w:start w:val="1"/>
      <w:numFmt w:val="bullet"/>
      <w:lvlText w:val="‐"/>
      <w:lvlJc w:val="left"/>
      <w:pPr>
        <w:ind w:left="1440" w:hanging="360"/>
      </w:pPr>
      <w:rPr>
        <w:rFonts w:ascii="Calibri"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96973B8"/>
    <w:multiLevelType w:val="hybridMultilevel"/>
    <w:tmpl w:val="2740158C"/>
    <w:lvl w:ilvl="0" w:tplc="4F8042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A625946"/>
    <w:multiLevelType w:val="hybridMultilevel"/>
    <w:tmpl w:val="D2827AA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EBA6C20"/>
    <w:multiLevelType w:val="multilevel"/>
    <w:tmpl w:val="201C55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4FCA48D6"/>
    <w:multiLevelType w:val="multilevel"/>
    <w:tmpl w:val="154080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56930DE9"/>
    <w:multiLevelType w:val="hybridMultilevel"/>
    <w:tmpl w:val="693E0E86"/>
    <w:lvl w:ilvl="0" w:tplc="9A5C26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AC867AE"/>
    <w:multiLevelType w:val="hybridMultilevel"/>
    <w:tmpl w:val="A62EBA7A"/>
    <w:lvl w:ilvl="0" w:tplc="E2C09614">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1763A53"/>
    <w:multiLevelType w:val="hybridMultilevel"/>
    <w:tmpl w:val="A12A477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36E4363"/>
    <w:multiLevelType w:val="hybridMultilevel"/>
    <w:tmpl w:val="C1EE797A"/>
    <w:lvl w:ilvl="0" w:tplc="46A4583E">
      <w:start w:val="1"/>
      <w:numFmt w:val="lowerLetter"/>
      <w:lvlText w:val="(%1)"/>
      <w:lvlJc w:val="lef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5" w15:restartNumberingAfterBreak="0">
    <w:nsid w:val="63742BDD"/>
    <w:multiLevelType w:val="hybridMultilevel"/>
    <w:tmpl w:val="EA8C838E"/>
    <w:lvl w:ilvl="0" w:tplc="E2C0961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B4346D5"/>
    <w:multiLevelType w:val="hybridMultilevel"/>
    <w:tmpl w:val="2740158C"/>
    <w:lvl w:ilvl="0" w:tplc="4F8042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C734D35"/>
    <w:multiLevelType w:val="hybridMultilevel"/>
    <w:tmpl w:val="3DAEBC4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01C2494"/>
    <w:multiLevelType w:val="hybridMultilevel"/>
    <w:tmpl w:val="F19C9CB4"/>
    <w:lvl w:ilvl="0" w:tplc="E2C0961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3D21400"/>
    <w:multiLevelType w:val="multilevel"/>
    <w:tmpl w:val="F7AC06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7C312DF4"/>
    <w:multiLevelType w:val="hybridMultilevel"/>
    <w:tmpl w:val="37680270"/>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FA76D98"/>
    <w:multiLevelType w:val="multilevel"/>
    <w:tmpl w:val="C81C85BC"/>
    <w:lvl w:ilvl="0">
      <w:start w:val="1"/>
      <w:numFmt w:val="lowerRoman"/>
      <w:lvlText w:val="%1."/>
      <w:lvlJc w:val="righ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39"/>
  </w:num>
  <w:num w:numId="2">
    <w:abstractNumId w:val="44"/>
  </w:num>
  <w:num w:numId="3">
    <w:abstractNumId w:val="18"/>
  </w:num>
  <w:num w:numId="4">
    <w:abstractNumId w:val="22"/>
  </w:num>
  <w:num w:numId="5">
    <w:abstractNumId w:val="48"/>
  </w:num>
  <w:num w:numId="6">
    <w:abstractNumId w:val="21"/>
  </w:num>
  <w:num w:numId="7">
    <w:abstractNumId w:val="24"/>
  </w:num>
  <w:num w:numId="8">
    <w:abstractNumId w:val="47"/>
  </w:num>
  <w:num w:numId="9">
    <w:abstractNumId w:val="33"/>
  </w:num>
  <w:num w:numId="10">
    <w:abstractNumId w:val="43"/>
  </w:num>
  <w:num w:numId="11">
    <w:abstractNumId w:val="26"/>
  </w:num>
  <w:num w:numId="12">
    <w:abstractNumId w:val="14"/>
  </w:num>
  <w:num w:numId="13">
    <w:abstractNumId w:val="35"/>
  </w:num>
  <w:num w:numId="14">
    <w:abstractNumId w:val="28"/>
  </w:num>
  <w:num w:numId="15">
    <w:abstractNumId w:val="50"/>
  </w:num>
  <w:num w:numId="16">
    <w:abstractNumId w:val="10"/>
  </w:num>
  <w:num w:numId="17">
    <w:abstractNumId w:val="34"/>
  </w:num>
  <w:num w:numId="18">
    <w:abstractNumId w:val="38"/>
  </w:num>
  <w:num w:numId="19">
    <w:abstractNumId w:val="30"/>
  </w:num>
  <w:num w:numId="20">
    <w:abstractNumId w:val="32"/>
  </w:num>
  <w:num w:numId="21">
    <w:abstractNumId w:val="41"/>
  </w:num>
  <w:num w:numId="22">
    <w:abstractNumId w:val="15"/>
  </w:num>
  <w:num w:numId="23">
    <w:abstractNumId w:val="19"/>
  </w:num>
  <w:num w:numId="24">
    <w:abstractNumId w:val="46"/>
  </w:num>
  <w:num w:numId="25">
    <w:abstractNumId w:val="51"/>
  </w:num>
  <w:num w:numId="26">
    <w:abstractNumId w:val="20"/>
  </w:num>
  <w:num w:numId="27">
    <w:abstractNumId w:val="37"/>
  </w:num>
  <w:num w:numId="28">
    <w:abstractNumId w:val="13"/>
  </w:num>
  <w:num w:numId="29">
    <w:abstractNumId w:val="40"/>
  </w:num>
  <w:num w:numId="30">
    <w:abstractNumId w:val="49"/>
  </w:num>
  <w:num w:numId="31">
    <w:abstractNumId w:val="11"/>
  </w:num>
  <w:num w:numId="32">
    <w:abstractNumId w:val="42"/>
  </w:num>
  <w:num w:numId="33">
    <w:abstractNumId w:val="23"/>
  </w:num>
  <w:num w:numId="34">
    <w:abstractNumId w:val="36"/>
  </w:num>
  <w:num w:numId="35">
    <w:abstractNumId w:val="16"/>
  </w:num>
  <w:num w:numId="36">
    <w:abstractNumId w:val="45"/>
  </w:num>
  <w:num w:numId="37">
    <w:abstractNumId w:val="17"/>
  </w:num>
  <w:num w:numId="38">
    <w:abstractNumId w:val="31"/>
  </w:num>
  <w:num w:numId="39">
    <w:abstractNumId w:val="25"/>
  </w:num>
  <w:num w:numId="40">
    <w:abstractNumId w:val="29"/>
  </w:num>
  <w:num w:numId="41">
    <w:abstractNumId w:val="27"/>
  </w:num>
  <w:num w:numId="42">
    <w:abstractNumId w:val="12"/>
  </w:num>
  <w:num w:numId="43">
    <w:abstractNumId w:val="9"/>
  </w:num>
  <w:num w:numId="44">
    <w:abstractNumId w:val="7"/>
  </w:num>
  <w:num w:numId="45">
    <w:abstractNumId w:val="6"/>
  </w:num>
  <w:num w:numId="46">
    <w:abstractNumId w:val="5"/>
  </w:num>
  <w:num w:numId="47">
    <w:abstractNumId w:val="4"/>
  </w:num>
  <w:num w:numId="48">
    <w:abstractNumId w:val="8"/>
  </w:num>
  <w:num w:numId="49">
    <w:abstractNumId w:val="3"/>
  </w:num>
  <w:num w:numId="50">
    <w:abstractNumId w:val="2"/>
  </w:num>
  <w:num w:numId="51">
    <w:abstractNumId w:val="1"/>
  </w:num>
  <w:num w:numId="52">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B32"/>
    <w:rsid w:val="00000283"/>
    <w:rsid w:val="0000133D"/>
    <w:rsid w:val="00001FF4"/>
    <w:rsid w:val="0000222B"/>
    <w:rsid w:val="0000464C"/>
    <w:rsid w:val="00004A29"/>
    <w:rsid w:val="00004B74"/>
    <w:rsid w:val="00006571"/>
    <w:rsid w:val="000065CC"/>
    <w:rsid w:val="00006981"/>
    <w:rsid w:val="00007707"/>
    <w:rsid w:val="00007D78"/>
    <w:rsid w:val="00010130"/>
    <w:rsid w:val="00012066"/>
    <w:rsid w:val="00012248"/>
    <w:rsid w:val="00012339"/>
    <w:rsid w:val="00012785"/>
    <w:rsid w:val="000131B5"/>
    <w:rsid w:val="00014B2A"/>
    <w:rsid w:val="00016A83"/>
    <w:rsid w:val="00020C74"/>
    <w:rsid w:val="00023198"/>
    <w:rsid w:val="0002555D"/>
    <w:rsid w:val="000260F0"/>
    <w:rsid w:val="00026F44"/>
    <w:rsid w:val="0002704D"/>
    <w:rsid w:val="0002740E"/>
    <w:rsid w:val="00027517"/>
    <w:rsid w:val="0003051A"/>
    <w:rsid w:val="00030D89"/>
    <w:rsid w:val="00030F69"/>
    <w:rsid w:val="0003163E"/>
    <w:rsid w:val="00031D88"/>
    <w:rsid w:val="0003376F"/>
    <w:rsid w:val="00033D24"/>
    <w:rsid w:val="00035987"/>
    <w:rsid w:val="00035C0B"/>
    <w:rsid w:val="00040FC9"/>
    <w:rsid w:val="0004112E"/>
    <w:rsid w:val="000416D2"/>
    <w:rsid w:val="0004178E"/>
    <w:rsid w:val="00041D40"/>
    <w:rsid w:val="00042BC3"/>
    <w:rsid w:val="00042D98"/>
    <w:rsid w:val="0004458D"/>
    <w:rsid w:val="00044877"/>
    <w:rsid w:val="0004487D"/>
    <w:rsid w:val="00046429"/>
    <w:rsid w:val="00046442"/>
    <w:rsid w:val="00046515"/>
    <w:rsid w:val="00050CA4"/>
    <w:rsid w:val="000511DD"/>
    <w:rsid w:val="00051233"/>
    <w:rsid w:val="00051454"/>
    <w:rsid w:val="00051D2C"/>
    <w:rsid w:val="00053368"/>
    <w:rsid w:val="00053839"/>
    <w:rsid w:val="0005386E"/>
    <w:rsid w:val="00053B14"/>
    <w:rsid w:val="00053E07"/>
    <w:rsid w:val="0005430F"/>
    <w:rsid w:val="00054314"/>
    <w:rsid w:val="000545D8"/>
    <w:rsid w:val="00055E04"/>
    <w:rsid w:val="00060582"/>
    <w:rsid w:val="000611F0"/>
    <w:rsid w:val="00062D00"/>
    <w:rsid w:val="00062F15"/>
    <w:rsid w:val="000633C1"/>
    <w:rsid w:val="00063908"/>
    <w:rsid w:val="00063EF9"/>
    <w:rsid w:val="000642CC"/>
    <w:rsid w:val="000645B4"/>
    <w:rsid w:val="000649BD"/>
    <w:rsid w:val="00065415"/>
    <w:rsid w:val="000659A2"/>
    <w:rsid w:val="000670A1"/>
    <w:rsid w:val="00070146"/>
    <w:rsid w:val="0007043D"/>
    <w:rsid w:val="00073397"/>
    <w:rsid w:val="00073E6F"/>
    <w:rsid w:val="00074F86"/>
    <w:rsid w:val="00077905"/>
    <w:rsid w:val="000814BD"/>
    <w:rsid w:val="000814FA"/>
    <w:rsid w:val="00082B5D"/>
    <w:rsid w:val="00083A49"/>
    <w:rsid w:val="00085058"/>
    <w:rsid w:val="00086D7D"/>
    <w:rsid w:val="000877E4"/>
    <w:rsid w:val="00087CBF"/>
    <w:rsid w:val="00091E45"/>
    <w:rsid w:val="0009231B"/>
    <w:rsid w:val="00092857"/>
    <w:rsid w:val="0009366D"/>
    <w:rsid w:val="00093CDA"/>
    <w:rsid w:val="0009460E"/>
    <w:rsid w:val="000957F2"/>
    <w:rsid w:val="00095A62"/>
    <w:rsid w:val="00095DA2"/>
    <w:rsid w:val="00097560"/>
    <w:rsid w:val="00097ECA"/>
    <w:rsid w:val="000A05AE"/>
    <w:rsid w:val="000A1782"/>
    <w:rsid w:val="000A1E32"/>
    <w:rsid w:val="000A2824"/>
    <w:rsid w:val="000A383F"/>
    <w:rsid w:val="000A50AF"/>
    <w:rsid w:val="000A737D"/>
    <w:rsid w:val="000B02EA"/>
    <w:rsid w:val="000B131A"/>
    <w:rsid w:val="000B2439"/>
    <w:rsid w:val="000B34EE"/>
    <w:rsid w:val="000B377F"/>
    <w:rsid w:val="000B46CC"/>
    <w:rsid w:val="000B6E42"/>
    <w:rsid w:val="000B7D85"/>
    <w:rsid w:val="000C0947"/>
    <w:rsid w:val="000C1DDE"/>
    <w:rsid w:val="000C2D3E"/>
    <w:rsid w:val="000C31C4"/>
    <w:rsid w:val="000C5E77"/>
    <w:rsid w:val="000C6A0A"/>
    <w:rsid w:val="000C6A43"/>
    <w:rsid w:val="000D1F4C"/>
    <w:rsid w:val="000D2C37"/>
    <w:rsid w:val="000D707D"/>
    <w:rsid w:val="000D75B8"/>
    <w:rsid w:val="000D7FAE"/>
    <w:rsid w:val="000E01A7"/>
    <w:rsid w:val="000E14C0"/>
    <w:rsid w:val="000E26EF"/>
    <w:rsid w:val="000E2703"/>
    <w:rsid w:val="000E39E2"/>
    <w:rsid w:val="000E4029"/>
    <w:rsid w:val="000E5B44"/>
    <w:rsid w:val="000E66DC"/>
    <w:rsid w:val="000E704F"/>
    <w:rsid w:val="000E7A15"/>
    <w:rsid w:val="000F0F2C"/>
    <w:rsid w:val="000F0FD9"/>
    <w:rsid w:val="000F2990"/>
    <w:rsid w:val="000F3677"/>
    <w:rsid w:val="000F53A7"/>
    <w:rsid w:val="000F59ED"/>
    <w:rsid w:val="000F6376"/>
    <w:rsid w:val="000F7560"/>
    <w:rsid w:val="00101475"/>
    <w:rsid w:val="00101DCA"/>
    <w:rsid w:val="001022FA"/>
    <w:rsid w:val="00102AF9"/>
    <w:rsid w:val="00102CEC"/>
    <w:rsid w:val="00106FD7"/>
    <w:rsid w:val="00107AFE"/>
    <w:rsid w:val="00110255"/>
    <w:rsid w:val="00110469"/>
    <w:rsid w:val="00110BFC"/>
    <w:rsid w:val="00111288"/>
    <w:rsid w:val="0011250E"/>
    <w:rsid w:val="00113D45"/>
    <w:rsid w:val="00116801"/>
    <w:rsid w:val="001170DB"/>
    <w:rsid w:val="0012053A"/>
    <w:rsid w:val="001214DD"/>
    <w:rsid w:val="00121873"/>
    <w:rsid w:val="0012218C"/>
    <w:rsid w:val="00123265"/>
    <w:rsid w:val="00123DE5"/>
    <w:rsid w:val="00124B06"/>
    <w:rsid w:val="00125284"/>
    <w:rsid w:val="0012559D"/>
    <w:rsid w:val="00125687"/>
    <w:rsid w:val="00126152"/>
    <w:rsid w:val="0012696F"/>
    <w:rsid w:val="00126ED9"/>
    <w:rsid w:val="00130B62"/>
    <w:rsid w:val="00132671"/>
    <w:rsid w:val="001330E7"/>
    <w:rsid w:val="00133228"/>
    <w:rsid w:val="0013490D"/>
    <w:rsid w:val="00135C68"/>
    <w:rsid w:val="0013645D"/>
    <w:rsid w:val="00136A5C"/>
    <w:rsid w:val="00137630"/>
    <w:rsid w:val="00137EC5"/>
    <w:rsid w:val="00142CA5"/>
    <w:rsid w:val="00142E07"/>
    <w:rsid w:val="00143489"/>
    <w:rsid w:val="00144DD9"/>
    <w:rsid w:val="001506BC"/>
    <w:rsid w:val="00151A34"/>
    <w:rsid w:val="00153899"/>
    <w:rsid w:val="001539B3"/>
    <w:rsid w:val="00154633"/>
    <w:rsid w:val="00157D9D"/>
    <w:rsid w:val="0016096D"/>
    <w:rsid w:val="00164E57"/>
    <w:rsid w:val="001658A7"/>
    <w:rsid w:val="00166B0F"/>
    <w:rsid w:val="00166D68"/>
    <w:rsid w:val="0017104C"/>
    <w:rsid w:val="0017186A"/>
    <w:rsid w:val="00172110"/>
    <w:rsid w:val="001756B5"/>
    <w:rsid w:val="00177823"/>
    <w:rsid w:val="00181121"/>
    <w:rsid w:val="00181134"/>
    <w:rsid w:val="00181F43"/>
    <w:rsid w:val="00181FC9"/>
    <w:rsid w:val="00183581"/>
    <w:rsid w:val="00183D30"/>
    <w:rsid w:val="001842C0"/>
    <w:rsid w:val="00184AB9"/>
    <w:rsid w:val="001858F2"/>
    <w:rsid w:val="001922F5"/>
    <w:rsid w:val="0019277F"/>
    <w:rsid w:val="00192BF5"/>
    <w:rsid w:val="00193046"/>
    <w:rsid w:val="00193227"/>
    <w:rsid w:val="00193BB2"/>
    <w:rsid w:val="00194F88"/>
    <w:rsid w:val="00195963"/>
    <w:rsid w:val="00197561"/>
    <w:rsid w:val="001A1125"/>
    <w:rsid w:val="001A1ACE"/>
    <w:rsid w:val="001A3551"/>
    <w:rsid w:val="001A5A8E"/>
    <w:rsid w:val="001A5BA5"/>
    <w:rsid w:val="001A628F"/>
    <w:rsid w:val="001B0A78"/>
    <w:rsid w:val="001B1B4B"/>
    <w:rsid w:val="001B26F7"/>
    <w:rsid w:val="001B586C"/>
    <w:rsid w:val="001B6598"/>
    <w:rsid w:val="001B75A4"/>
    <w:rsid w:val="001C1327"/>
    <w:rsid w:val="001C18A2"/>
    <w:rsid w:val="001C28D9"/>
    <w:rsid w:val="001C2DE3"/>
    <w:rsid w:val="001C3B32"/>
    <w:rsid w:val="001C5A32"/>
    <w:rsid w:val="001C6BF5"/>
    <w:rsid w:val="001D21C0"/>
    <w:rsid w:val="001D5AA1"/>
    <w:rsid w:val="001D7382"/>
    <w:rsid w:val="001D7885"/>
    <w:rsid w:val="001E19FE"/>
    <w:rsid w:val="001E2437"/>
    <w:rsid w:val="001E5F88"/>
    <w:rsid w:val="001E7B35"/>
    <w:rsid w:val="001F0238"/>
    <w:rsid w:val="001F04E5"/>
    <w:rsid w:val="001F089E"/>
    <w:rsid w:val="001F369F"/>
    <w:rsid w:val="001F382C"/>
    <w:rsid w:val="001F3B7A"/>
    <w:rsid w:val="001F4C04"/>
    <w:rsid w:val="001F5AFD"/>
    <w:rsid w:val="001F5DA7"/>
    <w:rsid w:val="001F6A77"/>
    <w:rsid w:val="001F6F7B"/>
    <w:rsid w:val="001F7FFB"/>
    <w:rsid w:val="00203213"/>
    <w:rsid w:val="00203412"/>
    <w:rsid w:val="00203A13"/>
    <w:rsid w:val="00203A2D"/>
    <w:rsid w:val="0020445F"/>
    <w:rsid w:val="0020583B"/>
    <w:rsid w:val="00205A46"/>
    <w:rsid w:val="0020664B"/>
    <w:rsid w:val="00206AC7"/>
    <w:rsid w:val="00207CCF"/>
    <w:rsid w:val="00210550"/>
    <w:rsid w:val="00210AF6"/>
    <w:rsid w:val="00212ADB"/>
    <w:rsid w:val="0021429B"/>
    <w:rsid w:val="00214CD2"/>
    <w:rsid w:val="00214E56"/>
    <w:rsid w:val="0021787D"/>
    <w:rsid w:val="002221D5"/>
    <w:rsid w:val="00222C0A"/>
    <w:rsid w:val="00223D76"/>
    <w:rsid w:val="00224A6C"/>
    <w:rsid w:val="0022533A"/>
    <w:rsid w:val="00225506"/>
    <w:rsid w:val="00225A95"/>
    <w:rsid w:val="00227724"/>
    <w:rsid w:val="00227A61"/>
    <w:rsid w:val="00227D87"/>
    <w:rsid w:val="00231E15"/>
    <w:rsid w:val="00231F2E"/>
    <w:rsid w:val="002333B5"/>
    <w:rsid w:val="00233EB9"/>
    <w:rsid w:val="002348EC"/>
    <w:rsid w:val="002352EB"/>
    <w:rsid w:val="00235C6E"/>
    <w:rsid w:val="00237BFC"/>
    <w:rsid w:val="00237EDD"/>
    <w:rsid w:val="00243B94"/>
    <w:rsid w:val="002442D3"/>
    <w:rsid w:val="002447DA"/>
    <w:rsid w:val="00244A99"/>
    <w:rsid w:val="00245ACD"/>
    <w:rsid w:val="002466E2"/>
    <w:rsid w:val="00247FE1"/>
    <w:rsid w:val="00251CCD"/>
    <w:rsid w:val="00251DE9"/>
    <w:rsid w:val="00251E96"/>
    <w:rsid w:val="00253E9A"/>
    <w:rsid w:val="002553BD"/>
    <w:rsid w:val="00255B45"/>
    <w:rsid w:val="00256485"/>
    <w:rsid w:val="00256C0F"/>
    <w:rsid w:val="00257021"/>
    <w:rsid w:val="002574CF"/>
    <w:rsid w:val="00257612"/>
    <w:rsid w:val="00260352"/>
    <w:rsid w:val="00260532"/>
    <w:rsid w:val="002609DB"/>
    <w:rsid w:val="002612EC"/>
    <w:rsid w:val="0026143C"/>
    <w:rsid w:val="002635DC"/>
    <w:rsid w:val="00263819"/>
    <w:rsid w:val="00263F72"/>
    <w:rsid w:val="002655C3"/>
    <w:rsid w:val="00265CD7"/>
    <w:rsid w:val="00266741"/>
    <w:rsid w:val="00266D33"/>
    <w:rsid w:val="00266F9D"/>
    <w:rsid w:val="00267CF8"/>
    <w:rsid w:val="00271D0C"/>
    <w:rsid w:val="00274070"/>
    <w:rsid w:val="002744EB"/>
    <w:rsid w:val="00275DE1"/>
    <w:rsid w:val="00276725"/>
    <w:rsid w:val="0028082E"/>
    <w:rsid w:val="00280FBB"/>
    <w:rsid w:val="002818D4"/>
    <w:rsid w:val="002820E2"/>
    <w:rsid w:val="0028353C"/>
    <w:rsid w:val="002838B8"/>
    <w:rsid w:val="00283AA5"/>
    <w:rsid w:val="00284C18"/>
    <w:rsid w:val="0028746C"/>
    <w:rsid w:val="00290E8D"/>
    <w:rsid w:val="00293036"/>
    <w:rsid w:val="00293D04"/>
    <w:rsid w:val="00294CB1"/>
    <w:rsid w:val="00295D52"/>
    <w:rsid w:val="002960A1"/>
    <w:rsid w:val="00296597"/>
    <w:rsid w:val="002978DB"/>
    <w:rsid w:val="002A1C5E"/>
    <w:rsid w:val="002A1D71"/>
    <w:rsid w:val="002A29C2"/>
    <w:rsid w:val="002A30D0"/>
    <w:rsid w:val="002A3256"/>
    <w:rsid w:val="002A330D"/>
    <w:rsid w:val="002A3614"/>
    <w:rsid w:val="002A3F4D"/>
    <w:rsid w:val="002A54F0"/>
    <w:rsid w:val="002A5DFE"/>
    <w:rsid w:val="002A63A8"/>
    <w:rsid w:val="002A7202"/>
    <w:rsid w:val="002A7CFA"/>
    <w:rsid w:val="002B0103"/>
    <w:rsid w:val="002B0207"/>
    <w:rsid w:val="002B20AC"/>
    <w:rsid w:val="002B2DE1"/>
    <w:rsid w:val="002B40A6"/>
    <w:rsid w:val="002B663C"/>
    <w:rsid w:val="002B75AD"/>
    <w:rsid w:val="002C292B"/>
    <w:rsid w:val="002C48AA"/>
    <w:rsid w:val="002C56CA"/>
    <w:rsid w:val="002C5B34"/>
    <w:rsid w:val="002C5F93"/>
    <w:rsid w:val="002C6220"/>
    <w:rsid w:val="002C77AE"/>
    <w:rsid w:val="002C7FAC"/>
    <w:rsid w:val="002D1D21"/>
    <w:rsid w:val="002D2A4B"/>
    <w:rsid w:val="002D35A8"/>
    <w:rsid w:val="002D3D1C"/>
    <w:rsid w:val="002D52A2"/>
    <w:rsid w:val="002D5C03"/>
    <w:rsid w:val="002D7108"/>
    <w:rsid w:val="002E055D"/>
    <w:rsid w:val="002E1A83"/>
    <w:rsid w:val="002E33FE"/>
    <w:rsid w:val="002E395E"/>
    <w:rsid w:val="002E41CF"/>
    <w:rsid w:val="002E61F7"/>
    <w:rsid w:val="002E6BB9"/>
    <w:rsid w:val="002E6D75"/>
    <w:rsid w:val="002E7B33"/>
    <w:rsid w:val="002F1128"/>
    <w:rsid w:val="002F3FE2"/>
    <w:rsid w:val="002F41FE"/>
    <w:rsid w:val="002F49F2"/>
    <w:rsid w:val="002F4B7B"/>
    <w:rsid w:val="002F594C"/>
    <w:rsid w:val="002F5C2D"/>
    <w:rsid w:val="002F624B"/>
    <w:rsid w:val="00300B1F"/>
    <w:rsid w:val="003010ED"/>
    <w:rsid w:val="003013FF"/>
    <w:rsid w:val="00303964"/>
    <w:rsid w:val="003055FC"/>
    <w:rsid w:val="0030636A"/>
    <w:rsid w:val="003063F1"/>
    <w:rsid w:val="00306F1D"/>
    <w:rsid w:val="00310713"/>
    <w:rsid w:val="00310E13"/>
    <w:rsid w:val="003112EF"/>
    <w:rsid w:val="00312584"/>
    <w:rsid w:val="0031451A"/>
    <w:rsid w:val="003150CC"/>
    <w:rsid w:val="0032042C"/>
    <w:rsid w:val="00323437"/>
    <w:rsid w:val="00323784"/>
    <w:rsid w:val="003238BC"/>
    <w:rsid w:val="00324638"/>
    <w:rsid w:val="00325557"/>
    <w:rsid w:val="00325854"/>
    <w:rsid w:val="00326C87"/>
    <w:rsid w:val="003279A7"/>
    <w:rsid w:val="0033073D"/>
    <w:rsid w:val="0033196E"/>
    <w:rsid w:val="00331BFB"/>
    <w:rsid w:val="003327C7"/>
    <w:rsid w:val="00333E86"/>
    <w:rsid w:val="00335201"/>
    <w:rsid w:val="00337616"/>
    <w:rsid w:val="00337946"/>
    <w:rsid w:val="00337EA4"/>
    <w:rsid w:val="00337F64"/>
    <w:rsid w:val="0034011B"/>
    <w:rsid w:val="0034037C"/>
    <w:rsid w:val="00340ADA"/>
    <w:rsid w:val="00341821"/>
    <w:rsid w:val="00342658"/>
    <w:rsid w:val="00344B2E"/>
    <w:rsid w:val="00350005"/>
    <w:rsid w:val="003507CB"/>
    <w:rsid w:val="003511D0"/>
    <w:rsid w:val="00352751"/>
    <w:rsid w:val="00352F12"/>
    <w:rsid w:val="00353849"/>
    <w:rsid w:val="0035485C"/>
    <w:rsid w:val="00354869"/>
    <w:rsid w:val="003571F2"/>
    <w:rsid w:val="00357988"/>
    <w:rsid w:val="00357B9A"/>
    <w:rsid w:val="00360377"/>
    <w:rsid w:val="00362292"/>
    <w:rsid w:val="00365080"/>
    <w:rsid w:val="0036594A"/>
    <w:rsid w:val="003664C7"/>
    <w:rsid w:val="003670A2"/>
    <w:rsid w:val="00370C37"/>
    <w:rsid w:val="00371FBF"/>
    <w:rsid w:val="0037209F"/>
    <w:rsid w:val="0037214E"/>
    <w:rsid w:val="00373499"/>
    <w:rsid w:val="00375FA9"/>
    <w:rsid w:val="00376DE0"/>
    <w:rsid w:val="00377898"/>
    <w:rsid w:val="003800E1"/>
    <w:rsid w:val="00382C61"/>
    <w:rsid w:val="00383D7B"/>
    <w:rsid w:val="00386CA0"/>
    <w:rsid w:val="003871AF"/>
    <w:rsid w:val="00387518"/>
    <w:rsid w:val="00387846"/>
    <w:rsid w:val="00394BA2"/>
    <w:rsid w:val="00394C6E"/>
    <w:rsid w:val="00395CD5"/>
    <w:rsid w:val="0039762B"/>
    <w:rsid w:val="003A3CD7"/>
    <w:rsid w:val="003A448B"/>
    <w:rsid w:val="003A4C9F"/>
    <w:rsid w:val="003A4DE0"/>
    <w:rsid w:val="003A6307"/>
    <w:rsid w:val="003B03DE"/>
    <w:rsid w:val="003B2E09"/>
    <w:rsid w:val="003B3364"/>
    <w:rsid w:val="003B39C9"/>
    <w:rsid w:val="003B4B50"/>
    <w:rsid w:val="003B5305"/>
    <w:rsid w:val="003B6024"/>
    <w:rsid w:val="003B66AC"/>
    <w:rsid w:val="003B6CC6"/>
    <w:rsid w:val="003C075C"/>
    <w:rsid w:val="003C2936"/>
    <w:rsid w:val="003C29A9"/>
    <w:rsid w:val="003C2A74"/>
    <w:rsid w:val="003C2B45"/>
    <w:rsid w:val="003C416F"/>
    <w:rsid w:val="003C44A4"/>
    <w:rsid w:val="003C4E64"/>
    <w:rsid w:val="003C53F4"/>
    <w:rsid w:val="003C571F"/>
    <w:rsid w:val="003C787F"/>
    <w:rsid w:val="003D02D7"/>
    <w:rsid w:val="003D083C"/>
    <w:rsid w:val="003D125A"/>
    <w:rsid w:val="003D173B"/>
    <w:rsid w:val="003D1F3F"/>
    <w:rsid w:val="003D211A"/>
    <w:rsid w:val="003D2D75"/>
    <w:rsid w:val="003D44B8"/>
    <w:rsid w:val="003D5751"/>
    <w:rsid w:val="003D7618"/>
    <w:rsid w:val="003D7678"/>
    <w:rsid w:val="003E1694"/>
    <w:rsid w:val="003E330B"/>
    <w:rsid w:val="003E33D6"/>
    <w:rsid w:val="003E3AA2"/>
    <w:rsid w:val="003E4469"/>
    <w:rsid w:val="003E5827"/>
    <w:rsid w:val="003E6F67"/>
    <w:rsid w:val="003E78F2"/>
    <w:rsid w:val="003E7B1E"/>
    <w:rsid w:val="003E7B29"/>
    <w:rsid w:val="003F43CF"/>
    <w:rsid w:val="003F44FC"/>
    <w:rsid w:val="003F4F6C"/>
    <w:rsid w:val="003F5430"/>
    <w:rsid w:val="003F5E73"/>
    <w:rsid w:val="003F6DC4"/>
    <w:rsid w:val="00400297"/>
    <w:rsid w:val="004025FF"/>
    <w:rsid w:val="00404F1A"/>
    <w:rsid w:val="00406C47"/>
    <w:rsid w:val="00407529"/>
    <w:rsid w:val="004078F5"/>
    <w:rsid w:val="0041079F"/>
    <w:rsid w:val="004107DE"/>
    <w:rsid w:val="0041168F"/>
    <w:rsid w:val="00411695"/>
    <w:rsid w:val="00412382"/>
    <w:rsid w:val="0041717D"/>
    <w:rsid w:val="004214DB"/>
    <w:rsid w:val="00421883"/>
    <w:rsid w:val="00421A53"/>
    <w:rsid w:val="004220B7"/>
    <w:rsid w:val="004230F4"/>
    <w:rsid w:val="0042678D"/>
    <w:rsid w:val="00426CDB"/>
    <w:rsid w:val="00427B97"/>
    <w:rsid w:val="00430BAF"/>
    <w:rsid w:val="00431035"/>
    <w:rsid w:val="004333DF"/>
    <w:rsid w:val="00434F92"/>
    <w:rsid w:val="00435F79"/>
    <w:rsid w:val="00436B61"/>
    <w:rsid w:val="00437B09"/>
    <w:rsid w:val="00437CE9"/>
    <w:rsid w:val="00440436"/>
    <w:rsid w:val="004424CF"/>
    <w:rsid w:val="0044368E"/>
    <w:rsid w:val="00443DFE"/>
    <w:rsid w:val="00451090"/>
    <w:rsid w:val="00451909"/>
    <w:rsid w:val="004535AF"/>
    <w:rsid w:val="00454DEC"/>
    <w:rsid w:val="00456D03"/>
    <w:rsid w:val="004576E6"/>
    <w:rsid w:val="00457969"/>
    <w:rsid w:val="00461263"/>
    <w:rsid w:val="0046198C"/>
    <w:rsid w:val="00461F5E"/>
    <w:rsid w:val="004627B2"/>
    <w:rsid w:val="0046390F"/>
    <w:rsid w:val="00463A2C"/>
    <w:rsid w:val="00463DE6"/>
    <w:rsid w:val="0046427C"/>
    <w:rsid w:val="00464F82"/>
    <w:rsid w:val="00466180"/>
    <w:rsid w:val="004719AF"/>
    <w:rsid w:val="0047269D"/>
    <w:rsid w:val="00473796"/>
    <w:rsid w:val="00474D94"/>
    <w:rsid w:val="0047561E"/>
    <w:rsid w:val="00475685"/>
    <w:rsid w:val="00481358"/>
    <w:rsid w:val="004840E3"/>
    <w:rsid w:val="00484ED0"/>
    <w:rsid w:val="00487E80"/>
    <w:rsid w:val="00491026"/>
    <w:rsid w:val="00492D4B"/>
    <w:rsid w:val="004966B8"/>
    <w:rsid w:val="004A4F68"/>
    <w:rsid w:val="004A661D"/>
    <w:rsid w:val="004A69C1"/>
    <w:rsid w:val="004A7C31"/>
    <w:rsid w:val="004A7EDB"/>
    <w:rsid w:val="004B05EA"/>
    <w:rsid w:val="004B0829"/>
    <w:rsid w:val="004B093E"/>
    <w:rsid w:val="004B1038"/>
    <w:rsid w:val="004B1B5F"/>
    <w:rsid w:val="004B35D9"/>
    <w:rsid w:val="004B444A"/>
    <w:rsid w:val="004B46F3"/>
    <w:rsid w:val="004B4713"/>
    <w:rsid w:val="004B5C0F"/>
    <w:rsid w:val="004B768A"/>
    <w:rsid w:val="004C0221"/>
    <w:rsid w:val="004C0305"/>
    <w:rsid w:val="004C0F1E"/>
    <w:rsid w:val="004C1C8F"/>
    <w:rsid w:val="004C3594"/>
    <w:rsid w:val="004C40E3"/>
    <w:rsid w:val="004C424D"/>
    <w:rsid w:val="004C491F"/>
    <w:rsid w:val="004C5661"/>
    <w:rsid w:val="004C7CFC"/>
    <w:rsid w:val="004C7F72"/>
    <w:rsid w:val="004D332F"/>
    <w:rsid w:val="004D3B67"/>
    <w:rsid w:val="004D3F4F"/>
    <w:rsid w:val="004D4144"/>
    <w:rsid w:val="004D45A5"/>
    <w:rsid w:val="004D4F2B"/>
    <w:rsid w:val="004D52CC"/>
    <w:rsid w:val="004D5A0C"/>
    <w:rsid w:val="004E0481"/>
    <w:rsid w:val="004E06C9"/>
    <w:rsid w:val="004E166C"/>
    <w:rsid w:val="004E1CC2"/>
    <w:rsid w:val="004E1CDC"/>
    <w:rsid w:val="004E2248"/>
    <w:rsid w:val="004E25A8"/>
    <w:rsid w:val="004E3EAC"/>
    <w:rsid w:val="004E4441"/>
    <w:rsid w:val="004E58DC"/>
    <w:rsid w:val="004E5A75"/>
    <w:rsid w:val="004E613D"/>
    <w:rsid w:val="004E6264"/>
    <w:rsid w:val="004E6B22"/>
    <w:rsid w:val="004E74B9"/>
    <w:rsid w:val="004F08F1"/>
    <w:rsid w:val="004F31EF"/>
    <w:rsid w:val="004F4119"/>
    <w:rsid w:val="004F53C7"/>
    <w:rsid w:val="004F5BB6"/>
    <w:rsid w:val="004F62E6"/>
    <w:rsid w:val="004F75E6"/>
    <w:rsid w:val="005002D7"/>
    <w:rsid w:val="005005DE"/>
    <w:rsid w:val="00500E36"/>
    <w:rsid w:val="00500F54"/>
    <w:rsid w:val="00501FDE"/>
    <w:rsid w:val="00502BD8"/>
    <w:rsid w:val="00503442"/>
    <w:rsid w:val="0050375F"/>
    <w:rsid w:val="00503F00"/>
    <w:rsid w:val="00504D0A"/>
    <w:rsid w:val="00505CDD"/>
    <w:rsid w:val="00505EAF"/>
    <w:rsid w:val="00506815"/>
    <w:rsid w:val="00507D5F"/>
    <w:rsid w:val="00510CA3"/>
    <w:rsid w:val="005131E2"/>
    <w:rsid w:val="005139A4"/>
    <w:rsid w:val="00514D0F"/>
    <w:rsid w:val="00514E7F"/>
    <w:rsid w:val="00515117"/>
    <w:rsid w:val="0051690A"/>
    <w:rsid w:val="0051728B"/>
    <w:rsid w:val="00517D05"/>
    <w:rsid w:val="005200D6"/>
    <w:rsid w:val="005208C0"/>
    <w:rsid w:val="00520B7B"/>
    <w:rsid w:val="005213C2"/>
    <w:rsid w:val="005264C7"/>
    <w:rsid w:val="005264DA"/>
    <w:rsid w:val="00526A7E"/>
    <w:rsid w:val="00527153"/>
    <w:rsid w:val="0052783B"/>
    <w:rsid w:val="0053101C"/>
    <w:rsid w:val="005318F2"/>
    <w:rsid w:val="00532A57"/>
    <w:rsid w:val="00536AF7"/>
    <w:rsid w:val="00537289"/>
    <w:rsid w:val="00537A7D"/>
    <w:rsid w:val="00540981"/>
    <w:rsid w:val="0054112C"/>
    <w:rsid w:val="00541659"/>
    <w:rsid w:val="00543B5F"/>
    <w:rsid w:val="00543C87"/>
    <w:rsid w:val="005445A5"/>
    <w:rsid w:val="00545A10"/>
    <w:rsid w:val="00546133"/>
    <w:rsid w:val="00546D56"/>
    <w:rsid w:val="00550A1A"/>
    <w:rsid w:val="00551A08"/>
    <w:rsid w:val="00553EF0"/>
    <w:rsid w:val="00554ED7"/>
    <w:rsid w:val="00557B57"/>
    <w:rsid w:val="00557EA9"/>
    <w:rsid w:val="005604C3"/>
    <w:rsid w:val="00561949"/>
    <w:rsid w:val="005635D9"/>
    <w:rsid w:val="005659AE"/>
    <w:rsid w:val="0056611A"/>
    <w:rsid w:val="00570972"/>
    <w:rsid w:val="00571D17"/>
    <w:rsid w:val="00572AC5"/>
    <w:rsid w:val="0057438B"/>
    <w:rsid w:val="005753C1"/>
    <w:rsid w:val="005764E9"/>
    <w:rsid w:val="00576F66"/>
    <w:rsid w:val="0057765D"/>
    <w:rsid w:val="00577788"/>
    <w:rsid w:val="00577822"/>
    <w:rsid w:val="00580DE6"/>
    <w:rsid w:val="005822DD"/>
    <w:rsid w:val="0058319C"/>
    <w:rsid w:val="00583D9D"/>
    <w:rsid w:val="00585039"/>
    <w:rsid w:val="00590007"/>
    <w:rsid w:val="00590E17"/>
    <w:rsid w:val="00593B01"/>
    <w:rsid w:val="00593E88"/>
    <w:rsid w:val="005952E2"/>
    <w:rsid w:val="005961BB"/>
    <w:rsid w:val="00596A84"/>
    <w:rsid w:val="00597073"/>
    <w:rsid w:val="005A02FE"/>
    <w:rsid w:val="005A0F9D"/>
    <w:rsid w:val="005A252E"/>
    <w:rsid w:val="005A26B6"/>
    <w:rsid w:val="005A27AF"/>
    <w:rsid w:val="005A3028"/>
    <w:rsid w:val="005A305F"/>
    <w:rsid w:val="005A5C50"/>
    <w:rsid w:val="005B4467"/>
    <w:rsid w:val="005B45E6"/>
    <w:rsid w:val="005B4E42"/>
    <w:rsid w:val="005B654D"/>
    <w:rsid w:val="005B6685"/>
    <w:rsid w:val="005B6958"/>
    <w:rsid w:val="005B722E"/>
    <w:rsid w:val="005C0EAA"/>
    <w:rsid w:val="005C121D"/>
    <w:rsid w:val="005C15FE"/>
    <w:rsid w:val="005C1CA8"/>
    <w:rsid w:val="005C1F85"/>
    <w:rsid w:val="005C283E"/>
    <w:rsid w:val="005C2AF2"/>
    <w:rsid w:val="005C40B9"/>
    <w:rsid w:val="005C4A28"/>
    <w:rsid w:val="005C4B39"/>
    <w:rsid w:val="005C7353"/>
    <w:rsid w:val="005C7357"/>
    <w:rsid w:val="005C76E5"/>
    <w:rsid w:val="005D0BD2"/>
    <w:rsid w:val="005D0E73"/>
    <w:rsid w:val="005D1BD8"/>
    <w:rsid w:val="005D20E7"/>
    <w:rsid w:val="005D234C"/>
    <w:rsid w:val="005D396B"/>
    <w:rsid w:val="005D3FDB"/>
    <w:rsid w:val="005D420F"/>
    <w:rsid w:val="005D435C"/>
    <w:rsid w:val="005D76AF"/>
    <w:rsid w:val="005D7CAA"/>
    <w:rsid w:val="005E005D"/>
    <w:rsid w:val="005E09A8"/>
    <w:rsid w:val="005E17F7"/>
    <w:rsid w:val="005E1CF1"/>
    <w:rsid w:val="005E1DBC"/>
    <w:rsid w:val="005E1F8F"/>
    <w:rsid w:val="005E2812"/>
    <w:rsid w:val="005E3851"/>
    <w:rsid w:val="005E5735"/>
    <w:rsid w:val="005E704C"/>
    <w:rsid w:val="005E7BE9"/>
    <w:rsid w:val="005F1296"/>
    <w:rsid w:val="005F131B"/>
    <w:rsid w:val="005F1AFC"/>
    <w:rsid w:val="005F2113"/>
    <w:rsid w:val="005F471F"/>
    <w:rsid w:val="006001B7"/>
    <w:rsid w:val="0060244F"/>
    <w:rsid w:val="00604F79"/>
    <w:rsid w:val="0060730D"/>
    <w:rsid w:val="00610637"/>
    <w:rsid w:val="00611428"/>
    <w:rsid w:val="00614996"/>
    <w:rsid w:val="00615407"/>
    <w:rsid w:val="006162A5"/>
    <w:rsid w:val="0061666C"/>
    <w:rsid w:val="006174BD"/>
    <w:rsid w:val="006203BB"/>
    <w:rsid w:val="0062099E"/>
    <w:rsid w:val="00620CF6"/>
    <w:rsid w:val="006212B1"/>
    <w:rsid w:val="006218A9"/>
    <w:rsid w:val="0062295A"/>
    <w:rsid w:val="00623A45"/>
    <w:rsid w:val="00624521"/>
    <w:rsid w:val="00624CB7"/>
    <w:rsid w:val="00625512"/>
    <w:rsid w:val="006262E5"/>
    <w:rsid w:val="00626C42"/>
    <w:rsid w:val="00626D71"/>
    <w:rsid w:val="00626DC9"/>
    <w:rsid w:val="00627180"/>
    <w:rsid w:val="00627C74"/>
    <w:rsid w:val="00627F3C"/>
    <w:rsid w:val="006311BC"/>
    <w:rsid w:val="00631467"/>
    <w:rsid w:val="00632491"/>
    <w:rsid w:val="0063366A"/>
    <w:rsid w:val="006347F1"/>
    <w:rsid w:val="00635F82"/>
    <w:rsid w:val="00636C1E"/>
    <w:rsid w:val="00641205"/>
    <w:rsid w:val="00641828"/>
    <w:rsid w:val="00642CB3"/>
    <w:rsid w:val="00642ED9"/>
    <w:rsid w:val="00643511"/>
    <w:rsid w:val="006455C9"/>
    <w:rsid w:val="006477B5"/>
    <w:rsid w:val="00652591"/>
    <w:rsid w:val="00652F98"/>
    <w:rsid w:val="00653821"/>
    <w:rsid w:val="00653D1F"/>
    <w:rsid w:val="006556FF"/>
    <w:rsid w:val="0066085C"/>
    <w:rsid w:val="00664255"/>
    <w:rsid w:val="00665282"/>
    <w:rsid w:val="00670E82"/>
    <w:rsid w:val="00671D7D"/>
    <w:rsid w:val="0067206B"/>
    <w:rsid w:val="0067311A"/>
    <w:rsid w:val="00673632"/>
    <w:rsid w:val="0067517A"/>
    <w:rsid w:val="00675C87"/>
    <w:rsid w:val="00680BBB"/>
    <w:rsid w:val="00680F12"/>
    <w:rsid w:val="00684EA8"/>
    <w:rsid w:val="00687A13"/>
    <w:rsid w:val="00687B47"/>
    <w:rsid w:val="00690E1E"/>
    <w:rsid w:val="006925A2"/>
    <w:rsid w:val="00692738"/>
    <w:rsid w:val="00692D6C"/>
    <w:rsid w:val="006A0551"/>
    <w:rsid w:val="006A0F43"/>
    <w:rsid w:val="006A30B8"/>
    <w:rsid w:val="006A60AE"/>
    <w:rsid w:val="006A72D1"/>
    <w:rsid w:val="006A748B"/>
    <w:rsid w:val="006A789A"/>
    <w:rsid w:val="006A7B46"/>
    <w:rsid w:val="006B2C2B"/>
    <w:rsid w:val="006B43C5"/>
    <w:rsid w:val="006B49E5"/>
    <w:rsid w:val="006B75D8"/>
    <w:rsid w:val="006B7B1C"/>
    <w:rsid w:val="006C3441"/>
    <w:rsid w:val="006C5180"/>
    <w:rsid w:val="006C5FF5"/>
    <w:rsid w:val="006C63BF"/>
    <w:rsid w:val="006C65C4"/>
    <w:rsid w:val="006D0305"/>
    <w:rsid w:val="006D4FDF"/>
    <w:rsid w:val="006D5C57"/>
    <w:rsid w:val="006D5ED7"/>
    <w:rsid w:val="006D69EE"/>
    <w:rsid w:val="006E1862"/>
    <w:rsid w:val="006E1A83"/>
    <w:rsid w:val="006E233B"/>
    <w:rsid w:val="006E2C0C"/>
    <w:rsid w:val="006E318E"/>
    <w:rsid w:val="006E4404"/>
    <w:rsid w:val="006E5136"/>
    <w:rsid w:val="006E6149"/>
    <w:rsid w:val="006E7689"/>
    <w:rsid w:val="006F05BA"/>
    <w:rsid w:val="006F2741"/>
    <w:rsid w:val="006F4CCF"/>
    <w:rsid w:val="006F4D84"/>
    <w:rsid w:val="006F68F0"/>
    <w:rsid w:val="007013CA"/>
    <w:rsid w:val="007029E0"/>
    <w:rsid w:val="007042BB"/>
    <w:rsid w:val="00704A35"/>
    <w:rsid w:val="0070529A"/>
    <w:rsid w:val="00705448"/>
    <w:rsid w:val="00706679"/>
    <w:rsid w:val="0071162C"/>
    <w:rsid w:val="0071259A"/>
    <w:rsid w:val="00713C03"/>
    <w:rsid w:val="007154A0"/>
    <w:rsid w:val="00715ECA"/>
    <w:rsid w:val="0071629E"/>
    <w:rsid w:val="007162DD"/>
    <w:rsid w:val="007164C7"/>
    <w:rsid w:val="0072204F"/>
    <w:rsid w:val="007233B5"/>
    <w:rsid w:val="00724C11"/>
    <w:rsid w:val="00724EE6"/>
    <w:rsid w:val="00725605"/>
    <w:rsid w:val="007262EE"/>
    <w:rsid w:val="0073055F"/>
    <w:rsid w:val="007314DE"/>
    <w:rsid w:val="00732DFF"/>
    <w:rsid w:val="007334C7"/>
    <w:rsid w:val="007354FB"/>
    <w:rsid w:val="0073745E"/>
    <w:rsid w:val="0073745F"/>
    <w:rsid w:val="00737DB9"/>
    <w:rsid w:val="0074014B"/>
    <w:rsid w:val="00741B08"/>
    <w:rsid w:val="007424F9"/>
    <w:rsid w:val="00742823"/>
    <w:rsid w:val="00742A2F"/>
    <w:rsid w:val="0074322E"/>
    <w:rsid w:val="00743983"/>
    <w:rsid w:val="0074573A"/>
    <w:rsid w:val="007465D9"/>
    <w:rsid w:val="00747D5A"/>
    <w:rsid w:val="00752479"/>
    <w:rsid w:val="0075382E"/>
    <w:rsid w:val="00755F86"/>
    <w:rsid w:val="00756470"/>
    <w:rsid w:val="00757787"/>
    <w:rsid w:val="00760A8C"/>
    <w:rsid w:val="00761209"/>
    <w:rsid w:val="00762123"/>
    <w:rsid w:val="00765236"/>
    <w:rsid w:val="0076567D"/>
    <w:rsid w:val="00765CA8"/>
    <w:rsid w:val="00765FD2"/>
    <w:rsid w:val="00766544"/>
    <w:rsid w:val="00770183"/>
    <w:rsid w:val="00775D84"/>
    <w:rsid w:val="00784A57"/>
    <w:rsid w:val="00794346"/>
    <w:rsid w:val="00796B5F"/>
    <w:rsid w:val="0079708F"/>
    <w:rsid w:val="007A06CC"/>
    <w:rsid w:val="007A0893"/>
    <w:rsid w:val="007A3041"/>
    <w:rsid w:val="007A5355"/>
    <w:rsid w:val="007A5E95"/>
    <w:rsid w:val="007A7E9A"/>
    <w:rsid w:val="007B05F6"/>
    <w:rsid w:val="007B26A6"/>
    <w:rsid w:val="007B3BAE"/>
    <w:rsid w:val="007B46E9"/>
    <w:rsid w:val="007B4F35"/>
    <w:rsid w:val="007B5473"/>
    <w:rsid w:val="007B722C"/>
    <w:rsid w:val="007B756F"/>
    <w:rsid w:val="007B799F"/>
    <w:rsid w:val="007C1B95"/>
    <w:rsid w:val="007C1EFB"/>
    <w:rsid w:val="007C3B0C"/>
    <w:rsid w:val="007C566C"/>
    <w:rsid w:val="007C6950"/>
    <w:rsid w:val="007C711D"/>
    <w:rsid w:val="007C7E20"/>
    <w:rsid w:val="007D059F"/>
    <w:rsid w:val="007D0B2B"/>
    <w:rsid w:val="007D109D"/>
    <w:rsid w:val="007D1860"/>
    <w:rsid w:val="007D1F23"/>
    <w:rsid w:val="007D2C6C"/>
    <w:rsid w:val="007D598C"/>
    <w:rsid w:val="007D5F87"/>
    <w:rsid w:val="007D5FD1"/>
    <w:rsid w:val="007D6B45"/>
    <w:rsid w:val="007D7048"/>
    <w:rsid w:val="007D72F2"/>
    <w:rsid w:val="007D7FA5"/>
    <w:rsid w:val="007E091D"/>
    <w:rsid w:val="007E1D63"/>
    <w:rsid w:val="007E1F33"/>
    <w:rsid w:val="007E289F"/>
    <w:rsid w:val="007E3B05"/>
    <w:rsid w:val="007E4D49"/>
    <w:rsid w:val="007E713E"/>
    <w:rsid w:val="007E76AA"/>
    <w:rsid w:val="007E77FA"/>
    <w:rsid w:val="007F1722"/>
    <w:rsid w:val="007F18DD"/>
    <w:rsid w:val="007F1E5B"/>
    <w:rsid w:val="007F1F57"/>
    <w:rsid w:val="007F2348"/>
    <w:rsid w:val="007F32BE"/>
    <w:rsid w:val="007F464E"/>
    <w:rsid w:val="007F586A"/>
    <w:rsid w:val="007F6017"/>
    <w:rsid w:val="007F7497"/>
    <w:rsid w:val="008006E3"/>
    <w:rsid w:val="00800806"/>
    <w:rsid w:val="00803957"/>
    <w:rsid w:val="00803DEB"/>
    <w:rsid w:val="00805A4D"/>
    <w:rsid w:val="008060C0"/>
    <w:rsid w:val="00806D7A"/>
    <w:rsid w:val="00807E88"/>
    <w:rsid w:val="008102E5"/>
    <w:rsid w:val="00811073"/>
    <w:rsid w:val="008114C6"/>
    <w:rsid w:val="00812732"/>
    <w:rsid w:val="00812C9E"/>
    <w:rsid w:val="0081340A"/>
    <w:rsid w:val="00815CE4"/>
    <w:rsid w:val="008174F3"/>
    <w:rsid w:val="008175E0"/>
    <w:rsid w:val="00817BC7"/>
    <w:rsid w:val="00817CC4"/>
    <w:rsid w:val="00821354"/>
    <w:rsid w:val="00821CBF"/>
    <w:rsid w:val="00823416"/>
    <w:rsid w:val="00825A8B"/>
    <w:rsid w:val="00825E63"/>
    <w:rsid w:val="0082646F"/>
    <w:rsid w:val="0082653F"/>
    <w:rsid w:val="0082753B"/>
    <w:rsid w:val="00827B10"/>
    <w:rsid w:val="008305AB"/>
    <w:rsid w:val="008305C6"/>
    <w:rsid w:val="00833661"/>
    <w:rsid w:val="00833D72"/>
    <w:rsid w:val="00834611"/>
    <w:rsid w:val="00834F6B"/>
    <w:rsid w:val="00836B02"/>
    <w:rsid w:val="00836CD8"/>
    <w:rsid w:val="008377B6"/>
    <w:rsid w:val="0084070D"/>
    <w:rsid w:val="00840F26"/>
    <w:rsid w:val="0084208A"/>
    <w:rsid w:val="00844B8B"/>
    <w:rsid w:val="0084677A"/>
    <w:rsid w:val="0084719B"/>
    <w:rsid w:val="00850725"/>
    <w:rsid w:val="008521B4"/>
    <w:rsid w:val="0085292B"/>
    <w:rsid w:val="00852DA2"/>
    <w:rsid w:val="00860253"/>
    <w:rsid w:val="0086123F"/>
    <w:rsid w:val="0086125D"/>
    <w:rsid w:val="00861834"/>
    <w:rsid w:val="00862B5E"/>
    <w:rsid w:val="008662D7"/>
    <w:rsid w:val="00870AD7"/>
    <w:rsid w:val="0087120C"/>
    <w:rsid w:val="008716A3"/>
    <w:rsid w:val="0087321B"/>
    <w:rsid w:val="008752EA"/>
    <w:rsid w:val="00876C46"/>
    <w:rsid w:val="00876C78"/>
    <w:rsid w:val="00876F17"/>
    <w:rsid w:val="0087766C"/>
    <w:rsid w:val="00880A81"/>
    <w:rsid w:val="00881B0F"/>
    <w:rsid w:val="00882678"/>
    <w:rsid w:val="00883561"/>
    <w:rsid w:val="00883989"/>
    <w:rsid w:val="0088411D"/>
    <w:rsid w:val="0088419D"/>
    <w:rsid w:val="008841F4"/>
    <w:rsid w:val="00884EAD"/>
    <w:rsid w:val="008868BD"/>
    <w:rsid w:val="008872A9"/>
    <w:rsid w:val="00890239"/>
    <w:rsid w:val="00890930"/>
    <w:rsid w:val="00893ED7"/>
    <w:rsid w:val="00894A5A"/>
    <w:rsid w:val="00895406"/>
    <w:rsid w:val="0089574A"/>
    <w:rsid w:val="0089630F"/>
    <w:rsid w:val="00896486"/>
    <w:rsid w:val="00896FE3"/>
    <w:rsid w:val="008A0DE5"/>
    <w:rsid w:val="008A1A5D"/>
    <w:rsid w:val="008A1CF5"/>
    <w:rsid w:val="008A301C"/>
    <w:rsid w:val="008A397C"/>
    <w:rsid w:val="008A3B30"/>
    <w:rsid w:val="008A4F0F"/>
    <w:rsid w:val="008A5F6C"/>
    <w:rsid w:val="008A797A"/>
    <w:rsid w:val="008B005D"/>
    <w:rsid w:val="008B1F57"/>
    <w:rsid w:val="008B35E1"/>
    <w:rsid w:val="008B46C6"/>
    <w:rsid w:val="008B5B78"/>
    <w:rsid w:val="008B7422"/>
    <w:rsid w:val="008B7AC4"/>
    <w:rsid w:val="008B7E8B"/>
    <w:rsid w:val="008C3172"/>
    <w:rsid w:val="008C3565"/>
    <w:rsid w:val="008C3C67"/>
    <w:rsid w:val="008C5238"/>
    <w:rsid w:val="008C5996"/>
    <w:rsid w:val="008C66D2"/>
    <w:rsid w:val="008D0779"/>
    <w:rsid w:val="008D1C81"/>
    <w:rsid w:val="008D2517"/>
    <w:rsid w:val="008D34DB"/>
    <w:rsid w:val="008D6832"/>
    <w:rsid w:val="008D7A32"/>
    <w:rsid w:val="008E0D65"/>
    <w:rsid w:val="008E1F67"/>
    <w:rsid w:val="008E21EE"/>
    <w:rsid w:val="008E3C09"/>
    <w:rsid w:val="008E530E"/>
    <w:rsid w:val="008E6157"/>
    <w:rsid w:val="008F01E8"/>
    <w:rsid w:val="008F048F"/>
    <w:rsid w:val="008F0A12"/>
    <w:rsid w:val="008F20DB"/>
    <w:rsid w:val="008F2DFE"/>
    <w:rsid w:val="008F3C5C"/>
    <w:rsid w:val="008F3F03"/>
    <w:rsid w:val="008F405A"/>
    <w:rsid w:val="008F4296"/>
    <w:rsid w:val="008F6CBD"/>
    <w:rsid w:val="008F75A1"/>
    <w:rsid w:val="008F7672"/>
    <w:rsid w:val="008F776B"/>
    <w:rsid w:val="0090270D"/>
    <w:rsid w:val="00904B5F"/>
    <w:rsid w:val="009051DD"/>
    <w:rsid w:val="009057E8"/>
    <w:rsid w:val="0090592F"/>
    <w:rsid w:val="00906D3E"/>
    <w:rsid w:val="0090732F"/>
    <w:rsid w:val="00907F27"/>
    <w:rsid w:val="00910473"/>
    <w:rsid w:val="009107FD"/>
    <w:rsid w:val="00910F75"/>
    <w:rsid w:val="0091161F"/>
    <w:rsid w:val="0091419F"/>
    <w:rsid w:val="0091447F"/>
    <w:rsid w:val="00922050"/>
    <w:rsid w:val="00923A2B"/>
    <w:rsid w:val="00923F37"/>
    <w:rsid w:val="0092422F"/>
    <w:rsid w:val="0092607F"/>
    <w:rsid w:val="0092729A"/>
    <w:rsid w:val="00930C6E"/>
    <w:rsid w:val="0093169C"/>
    <w:rsid w:val="0093264A"/>
    <w:rsid w:val="009329AD"/>
    <w:rsid w:val="009344C2"/>
    <w:rsid w:val="0093460C"/>
    <w:rsid w:val="009352D4"/>
    <w:rsid w:val="009365BF"/>
    <w:rsid w:val="0094142B"/>
    <w:rsid w:val="0094214B"/>
    <w:rsid w:val="00942262"/>
    <w:rsid w:val="00942752"/>
    <w:rsid w:val="00943037"/>
    <w:rsid w:val="00945873"/>
    <w:rsid w:val="00945B60"/>
    <w:rsid w:val="00946EFA"/>
    <w:rsid w:val="009470E7"/>
    <w:rsid w:val="00947AD9"/>
    <w:rsid w:val="00950EDF"/>
    <w:rsid w:val="00951486"/>
    <w:rsid w:val="00951515"/>
    <w:rsid w:val="009530B7"/>
    <w:rsid w:val="0095379E"/>
    <w:rsid w:val="009562F0"/>
    <w:rsid w:val="009573A9"/>
    <w:rsid w:val="009575A7"/>
    <w:rsid w:val="00964520"/>
    <w:rsid w:val="0096547D"/>
    <w:rsid w:val="009665C2"/>
    <w:rsid w:val="0097037D"/>
    <w:rsid w:val="009703ED"/>
    <w:rsid w:val="00971D42"/>
    <w:rsid w:val="00972F5B"/>
    <w:rsid w:val="00973A6E"/>
    <w:rsid w:val="00973F85"/>
    <w:rsid w:val="00975D43"/>
    <w:rsid w:val="00976DCE"/>
    <w:rsid w:val="00980682"/>
    <w:rsid w:val="00982556"/>
    <w:rsid w:val="00982E0D"/>
    <w:rsid w:val="00983112"/>
    <w:rsid w:val="00985348"/>
    <w:rsid w:val="009858DE"/>
    <w:rsid w:val="00990A1F"/>
    <w:rsid w:val="009910C4"/>
    <w:rsid w:val="009911FC"/>
    <w:rsid w:val="009920E3"/>
    <w:rsid w:val="009927F4"/>
    <w:rsid w:val="009979B6"/>
    <w:rsid w:val="00997F06"/>
    <w:rsid w:val="009A42B7"/>
    <w:rsid w:val="009A4649"/>
    <w:rsid w:val="009A4E59"/>
    <w:rsid w:val="009A5EE3"/>
    <w:rsid w:val="009A61C5"/>
    <w:rsid w:val="009B056B"/>
    <w:rsid w:val="009B1319"/>
    <w:rsid w:val="009B4CFF"/>
    <w:rsid w:val="009B57D7"/>
    <w:rsid w:val="009B6218"/>
    <w:rsid w:val="009B65D0"/>
    <w:rsid w:val="009B671C"/>
    <w:rsid w:val="009B6E7D"/>
    <w:rsid w:val="009B76B4"/>
    <w:rsid w:val="009C0A9A"/>
    <w:rsid w:val="009C2245"/>
    <w:rsid w:val="009C4B29"/>
    <w:rsid w:val="009C6126"/>
    <w:rsid w:val="009D12A9"/>
    <w:rsid w:val="009D1AC1"/>
    <w:rsid w:val="009D2C77"/>
    <w:rsid w:val="009D2DD4"/>
    <w:rsid w:val="009D3090"/>
    <w:rsid w:val="009D3195"/>
    <w:rsid w:val="009D3BE1"/>
    <w:rsid w:val="009D5130"/>
    <w:rsid w:val="009D6195"/>
    <w:rsid w:val="009D6200"/>
    <w:rsid w:val="009E0AE0"/>
    <w:rsid w:val="009E0B46"/>
    <w:rsid w:val="009E0EC5"/>
    <w:rsid w:val="009E1ADC"/>
    <w:rsid w:val="009E21C9"/>
    <w:rsid w:val="009E22D3"/>
    <w:rsid w:val="009E3B90"/>
    <w:rsid w:val="009E3C06"/>
    <w:rsid w:val="009E46BB"/>
    <w:rsid w:val="009E7100"/>
    <w:rsid w:val="009E7495"/>
    <w:rsid w:val="009E7E2B"/>
    <w:rsid w:val="009F0D7A"/>
    <w:rsid w:val="009F30C3"/>
    <w:rsid w:val="009F3B42"/>
    <w:rsid w:val="009F4225"/>
    <w:rsid w:val="00A0022E"/>
    <w:rsid w:val="00A002D9"/>
    <w:rsid w:val="00A01BC4"/>
    <w:rsid w:val="00A033A1"/>
    <w:rsid w:val="00A040D7"/>
    <w:rsid w:val="00A05968"/>
    <w:rsid w:val="00A07BA9"/>
    <w:rsid w:val="00A1199C"/>
    <w:rsid w:val="00A12476"/>
    <w:rsid w:val="00A12DF0"/>
    <w:rsid w:val="00A1445B"/>
    <w:rsid w:val="00A16899"/>
    <w:rsid w:val="00A1690E"/>
    <w:rsid w:val="00A17AAA"/>
    <w:rsid w:val="00A21290"/>
    <w:rsid w:val="00A23901"/>
    <w:rsid w:val="00A26AE5"/>
    <w:rsid w:val="00A30525"/>
    <w:rsid w:val="00A30607"/>
    <w:rsid w:val="00A31CB7"/>
    <w:rsid w:val="00A3340E"/>
    <w:rsid w:val="00A34052"/>
    <w:rsid w:val="00A35390"/>
    <w:rsid w:val="00A35BB2"/>
    <w:rsid w:val="00A35CD9"/>
    <w:rsid w:val="00A402FF"/>
    <w:rsid w:val="00A424DE"/>
    <w:rsid w:val="00A44F47"/>
    <w:rsid w:val="00A46758"/>
    <w:rsid w:val="00A468B7"/>
    <w:rsid w:val="00A500AC"/>
    <w:rsid w:val="00A52BC3"/>
    <w:rsid w:val="00A53424"/>
    <w:rsid w:val="00A53F93"/>
    <w:rsid w:val="00A5416B"/>
    <w:rsid w:val="00A5450E"/>
    <w:rsid w:val="00A54868"/>
    <w:rsid w:val="00A5597E"/>
    <w:rsid w:val="00A56E60"/>
    <w:rsid w:val="00A57141"/>
    <w:rsid w:val="00A60C58"/>
    <w:rsid w:val="00A614E5"/>
    <w:rsid w:val="00A62CDE"/>
    <w:rsid w:val="00A633A0"/>
    <w:rsid w:val="00A64054"/>
    <w:rsid w:val="00A64976"/>
    <w:rsid w:val="00A64C2B"/>
    <w:rsid w:val="00A65E3D"/>
    <w:rsid w:val="00A661D1"/>
    <w:rsid w:val="00A66274"/>
    <w:rsid w:val="00A7028F"/>
    <w:rsid w:val="00A70A53"/>
    <w:rsid w:val="00A72390"/>
    <w:rsid w:val="00A73FA8"/>
    <w:rsid w:val="00A749CE"/>
    <w:rsid w:val="00A757C1"/>
    <w:rsid w:val="00A75C3C"/>
    <w:rsid w:val="00A76602"/>
    <w:rsid w:val="00A77E87"/>
    <w:rsid w:val="00A80EF3"/>
    <w:rsid w:val="00A82850"/>
    <w:rsid w:val="00A82EF2"/>
    <w:rsid w:val="00A8318C"/>
    <w:rsid w:val="00A842A5"/>
    <w:rsid w:val="00A84575"/>
    <w:rsid w:val="00A84C2F"/>
    <w:rsid w:val="00A84ECB"/>
    <w:rsid w:val="00A8578D"/>
    <w:rsid w:val="00A85E4B"/>
    <w:rsid w:val="00A86C07"/>
    <w:rsid w:val="00A87A67"/>
    <w:rsid w:val="00A90A8F"/>
    <w:rsid w:val="00A90F7D"/>
    <w:rsid w:val="00A91869"/>
    <w:rsid w:val="00A91C0C"/>
    <w:rsid w:val="00A91EE5"/>
    <w:rsid w:val="00A93296"/>
    <w:rsid w:val="00A933BD"/>
    <w:rsid w:val="00A94145"/>
    <w:rsid w:val="00A95932"/>
    <w:rsid w:val="00A960A5"/>
    <w:rsid w:val="00A967EE"/>
    <w:rsid w:val="00A96BD1"/>
    <w:rsid w:val="00AA060A"/>
    <w:rsid w:val="00AA2619"/>
    <w:rsid w:val="00AA3CE1"/>
    <w:rsid w:val="00AB0B4F"/>
    <w:rsid w:val="00AB17EA"/>
    <w:rsid w:val="00AB2F24"/>
    <w:rsid w:val="00AB6E0A"/>
    <w:rsid w:val="00AB7557"/>
    <w:rsid w:val="00AC0389"/>
    <w:rsid w:val="00AC0E61"/>
    <w:rsid w:val="00AC3036"/>
    <w:rsid w:val="00AC3D0E"/>
    <w:rsid w:val="00AC3D97"/>
    <w:rsid w:val="00AC43FB"/>
    <w:rsid w:val="00AC49B8"/>
    <w:rsid w:val="00AC4DE3"/>
    <w:rsid w:val="00AC5344"/>
    <w:rsid w:val="00AC5BDD"/>
    <w:rsid w:val="00AC6C8C"/>
    <w:rsid w:val="00AD03B0"/>
    <w:rsid w:val="00AD1968"/>
    <w:rsid w:val="00AD33C7"/>
    <w:rsid w:val="00AD5161"/>
    <w:rsid w:val="00AD55CD"/>
    <w:rsid w:val="00AD58D3"/>
    <w:rsid w:val="00AD5AD6"/>
    <w:rsid w:val="00AD6787"/>
    <w:rsid w:val="00AD71FF"/>
    <w:rsid w:val="00AD7AB8"/>
    <w:rsid w:val="00AE0195"/>
    <w:rsid w:val="00AE19D9"/>
    <w:rsid w:val="00AE2103"/>
    <w:rsid w:val="00AE3899"/>
    <w:rsid w:val="00AE3C68"/>
    <w:rsid w:val="00AE3E6C"/>
    <w:rsid w:val="00AE44A5"/>
    <w:rsid w:val="00AE560B"/>
    <w:rsid w:val="00AF11D4"/>
    <w:rsid w:val="00AF1484"/>
    <w:rsid w:val="00AF20AB"/>
    <w:rsid w:val="00AF26C3"/>
    <w:rsid w:val="00AF342F"/>
    <w:rsid w:val="00AF54E6"/>
    <w:rsid w:val="00AF5FC4"/>
    <w:rsid w:val="00AF7488"/>
    <w:rsid w:val="00AF766C"/>
    <w:rsid w:val="00AF7692"/>
    <w:rsid w:val="00B00C2A"/>
    <w:rsid w:val="00B016D3"/>
    <w:rsid w:val="00B01C80"/>
    <w:rsid w:val="00B0334A"/>
    <w:rsid w:val="00B03D8B"/>
    <w:rsid w:val="00B04468"/>
    <w:rsid w:val="00B0454F"/>
    <w:rsid w:val="00B04B4C"/>
    <w:rsid w:val="00B07D6E"/>
    <w:rsid w:val="00B10740"/>
    <w:rsid w:val="00B10DCC"/>
    <w:rsid w:val="00B1216F"/>
    <w:rsid w:val="00B13C59"/>
    <w:rsid w:val="00B142B3"/>
    <w:rsid w:val="00B16648"/>
    <w:rsid w:val="00B169A8"/>
    <w:rsid w:val="00B22644"/>
    <w:rsid w:val="00B2351F"/>
    <w:rsid w:val="00B240D4"/>
    <w:rsid w:val="00B24941"/>
    <w:rsid w:val="00B26790"/>
    <w:rsid w:val="00B270F9"/>
    <w:rsid w:val="00B27507"/>
    <w:rsid w:val="00B3043A"/>
    <w:rsid w:val="00B31624"/>
    <w:rsid w:val="00B333F3"/>
    <w:rsid w:val="00B34435"/>
    <w:rsid w:val="00B3510C"/>
    <w:rsid w:val="00B36189"/>
    <w:rsid w:val="00B36460"/>
    <w:rsid w:val="00B36523"/>
    <w:rsid w:val="00B36781"/>
    <w:rsid w:val="00B37C15"/>
    <w:rsid w:val="00B404E6"/>
    <w:rsid w:val="00B408F7"/>
    <w:rsid w:val="00B40FBC"/>
    <w:rsid w:val="00B412C5"/>
    <w:rsid w:val="00B41DF4"/>
    <w:rsid w:val="00B47FED"/>
    <w:rsid w:val="00B50764"/>
    <w:rsid w:val="00B512A5"/>
    <w:rsid w:val="00B52A25"/>
    <w:rsid w:val="00B54541"/>
    <w:rsid w:val="00B54732"/>
    <w:rsid w:val="00B547A5"/>
    <w:rsid w:val="00B54CA0"/>
    <w:rsid w:val="00B55F9D"/>
    <w:rsid w:val="00B55FB2"/>
    <w:rsid w:val="00B56011"/>
    <w:rsid w:val="00B603CD"/>
    <w:rsid w:val="00B603D5"/>
    <w:rsid w:val="00B60C04"/>
    <w:rsid w:val="00B61A29"/>
    <w:rsid w:val="00B6211E"/>
    <w:rsid w:val="00B64ADA"/>
    <w:rsid w:val="00B65D93"/>
    <w:rsid w:val="00B676E6"/>
    <w:rsid w:val="00B71F94"/>
    <w:rsid w:val="00B732AC"/>
    <w:rsid w:val="00B7527B"/>
    <w:rsid w:val="00B75482"/>
    <w:rsid w:val="00B75803"/>
    <w:rsid w:val="00B75F0D"/>
    <w:rsid w:val="00B76A78"/>
    <w:rsid w:val="00B77484"/>
    <w:rsid w:val="00B77F3E"/>
    <w:rsid w:val="00B80B8E"/>
    <w:rsid w:val="00B80D09"/>
    <w:rsid w:val="00B85729"/>
    <w:rsid w:val="00B85DC7"/>
    <w:rsid w:val="00B862F2"/>
    <w:rsid w:val="00B864A7"/>
    <w:rsid w:val="00B86E0E"/>
    <w:rsid w:val="00B8765D"/>
    <w:rsid w:val="00B877F6"/>
    <w:rsid w:val="00B9024C"/>
    <w:rsid w:val="00B90254"/>
    <w:rsid w:val="00B91F0E"/>
    <w:rsid w:val="00B92D19"/>
    <w:rsid w:val="00B9371A"/>
    <w:rsid w:val="00B93B99"/>
    <w:rsid w:val="00B96CCD"/>
    <w:rsid w:val="00B97D45"/>
    <w:rsid w:val="00BA246A"/>
    <w:rsid w:val="00BA3BC4"/>
    <w:rsid w:val="00BA3FCF"/>
    <w:rsid w:val="00BA438E"/>
    <w:rsid w:val="00BA4CB3"/>
    <w:rsid w:val="00BA6FAE"/>
    <w:rsid w:val="00BA79C5"/>
    <w:rsid w:val="00BA7D72"/>
    <w:rsid w:val="00BB0AA2"/>
    <w:rsid w:val="00BB2750"/>
    <w:rsid w:val="00BB2D5D"/>
    <w:rsid w:val="00BB31EF"/>
    <w:rsid w:val="00BC12C0"/>
    <w:rsid w:val="00BC12EE"/>
    <w:rsid w:val="00BC210A"/>
    <w:rsid w:val="00BC21CC"/>
    <w:rsid w:val="00BC2F2A"/>
    <w:rsid w:val="00BC55FF"/>
    <w:rsid w:val="00BD0542"/>
    <w:rsid w:val="00BD0729"/>
    <w:rsid w:val="00BD1BE4"/>
    <w:rsid w:val="00BD2BE3"/>
    <w:rsid w:val="00BD42D0"/>
    <w:rsid w:val="00BD43DD"/>
    <w:rsid w:val="00BD56DF"/>
    <w:rsid w:val="00BD74EE"/>
    <w:rsid w:val="00BE05A4"/>
    <w:rsid w:val="00BE1798"/>
    <w:rsid w:val="00BE1A1E"/>
    <w:rsid w:val="00BE414D"/>
    <w:rsid w:val="00BE5523"/>
    <w:rsid w:val="00BE5A44"/>
    <w:rsid w:val="00BE5C65"/>
    <w:rsid w:val="00BE5CFE"/>
    <w:rsid w:val="00BE66A7"/>
    <w:rsid w:val="00BE6EBC"/>
    <w:rsid w:val="00BE7658"/>
    <w:rsid w:val="00BF220A"/>
    <w:rsid w:val="00BF3347"/>
    <w:rsid w:val="00BF6DD2"/>
    <w:rsid w:val="00BF74AA"/>
    <w:rsid w:val="00C0036B"/>
    <w:rsid w:val="00C00C49"/>
    <w:rsid w:val="00C012D5"/>
    <w:rsid w:val="00C057A1"/>
    <w:rsid w:val="00C0659F"/>
    <w:rsid w:val="00C06CC3"/>
    <w:rsid w:val="00C07EB7"/>
    <w:rsid w:val="00C10EBC"/>
    <w:rsid w:val="00C11E72"/>
    <w:rsid w:val="00C12308"/>
    <w:rsid w:val="00C12547"/>
    <w:rsid w:val="00C12CF7"/>
    <w:rsid w:val="00C134CD"/>
    <w:rsid w:val="00C13EDF"/>
    <w:rsid w:val="00C140E7"/>
    <w:rsid w:val="00C15BFF"/>
    <w:rsid w:val="00C15C02"/>
    <w:rsid w:val="00C164AB"/>
    <w:rsid w:val="00C16AEA"/>
    <w:rsid w:val="00C16B7D"/>
    <w:rsid w:val="00C17E7B"/>
    <w:rsid w:val="00C22B61"/>
    <w:rsid w:val="00C25275"/>
    <w:rsid w:val="00C26664"/>
    <w:rsid w:val="00C27814"/>
    <w:rsid w:val="00C27A89"/>
    <w:rsid w:val="00C27F3D"/>
    <w:rsid w:val="00C31026"/>
    <w:rsid w:val="00C31A34"/>
    <w:rsid w:val="00C31D66"/>
    <w:rsid w:val="00C326AE"/>
    <w:rsid w:val="00C3274C"/>
    <w:rsid w:val="00C3300C"/>
    <w:rsid w:val="00C333E1"/>
    <w:rsid w:val="00C3383B"/>
    <w:rsid w:val="00C33FA4"/>
    <w:rsid w:val="00C346C7"/>
    <w:rsid w:val="00C347E6"/>
    <w:rsid w:val="00C34D02"/>
    <w:rsid w:val="00C36550"/>
    <w:rsid w:val="00C366BE"/>
    <w:rsid w:val="00C41276"/>
    <w:rsid w:val="00C451B2"/>
    <w:rsid w:val="00C4571C"/>
    <w:rsid w:val="00C45855"/>
    <w:rsid w:val="00C46556"/>
    <w:rsid w:val="00C47CFF"/>
    <w:rsid w:val="00C47EF4"/>
    <w:rsid w:val="00C500ED"/>
    <w:rsid w:val="00C50AE2"/>
    <w:rsid w:val="00C5290C"/>
    <w:rsid w:val="00C52A37"/>
    <w:rsid w:val="00C53309"/>
    <w:rsid w:val="00C53611"/>
    <w:rsid w:val="00C53729"/>
    <w:rsid w:val="00C53F4F"/>
    <w:rsid w:val="00C54C4D"/>
    <w:rsid w:val="00C55267"/>
    <w:rsid w:val="00C571FF"/>
    <w:rsid w:val="00C57370"/>
    <w:rsid w:val="00C63399"/>
    <w:rsid w:val="00C64277"/>
    <w:rsid w:val="00C642C9"/>
    <w:rsid w:val="00C643E7"/>
    <w:rsid w:val="00C646EC"/>
    <w:rsid w:val="00C6482E"/>
    <w:rsid w:val="00C655F9"/>
    <w:rsid w:val="00C65CD3"/>
    <w:rsid w:val="00C66914"/>
    <w:rsid w:val="00C67079"/>
    <w:rsid w:val="00C70AB4"/>
    <w:rsid w:val="00C73199"/>
    <w:rsid w:val="00C7323C"/>
    <w:rsid w:val="00C73846"/>
    <w:rsid w:val="00C741D5"/>
    <w:rsid w:val="00C753CE"/>
    <w:rsid w:val="00C75C1E"/>
    <w:rsid w:val="00C77568"/>
    <w:rsid w:val="00C8072C"/>
    <w:rsid w:val="00C80FBF"/>
    <w:rsid w:val="00C8484B"/>
    <w:rsid w:val="00C848ED"/>
    <w:rsid w:val="00C84D17"/>
    <w:rsid w:val="00C85A48"/>
    <w:rsid w:val="00C8693F"/>
    <w:rsid w:val="00C869A2"/>
    <w:rsid w:val="00C878B5"/>
    <w:rsid w:val="00C87FC8"/>
    <w:rsid w:val="00C9316D"/>
    <w:rsid w:val="00C94421"/>
    <w:rsid w:val="00C9527C"/>
    <w:rsid w:val="00C95ABF"/>
    <w:rsid w:val="00CA00C5"/>
    <w:rsid w:val="00CA085D"/>
    <w:rsid w:val="00CA181F"/>
    <w:rsid w:val="00CA1AA4"/>
    <w:rsid w:val="00CA1ADE"/>
    <w:rsid w:val="00CA3EED"/>
    <w:rsid w:val="00CA457B"/>
    <w:rsid w:val="00CA5F01"/>
    <w:rsid w:val="00CA6C50"/>
    <w:rsid w:val="00CB0745"/>
    <w:rsid w:val="00CB0A9C"/>
    <w:rsid w:val="00CB19FF"/>
    <w:rsid w:val="00CB2C5B"/>
    <w:rsid w:val="00CB37B7"/>
    <w:rsid w:val="00CB407A"/>
    <w:rsid w:val="00CB40B5"/>
    <w:rsid w:val="00CB4FDD"/>
    <w:rsid w:val="00CB5266"/>
    <w:rsid w:val="00CB676B"/>
    <w:rsid w:val="00CB7DE2"/>
    <w:rsid w:val="00CC0D60"/>
    <w:rsid w:val="00CC150C"/>
    <w:rsid w:val="00CC1677"/>
    <w:rsid w:val="00CC2AC7"/>
    <w:rsid w:val="00CC2FE9"/>
    <w:rsid w:val="00CC639E"/>
    <w:rsid w:val="00CD01AA"/>
    <w:rsid w:val="00CD1368"/>
    <w:rsid w:val="00CD251D"/>
    <w:rsid w:val="00CD3D71"/>
    <w:rsid w:val="00CD3F6E"/>
    <w:rsid w:val="00CD50D9"/>
    <w:rsid w:val="00CD6498"/>
    <w:rsid w:val="00CD68EC"/>
    <w:rsid w:val="00CD6969"/>
    <w:rsid w:val="00CD74FF"/>
    <w:rsid w:val="00CD7E28"/>
    <w:rsid w:val="00CE07EE"/>
    <w:rsid w:val="00CE2301"/>
    <w:rsid w:val="00CE2637"/>
    <w:rsid w:val="00CE3640"/>
    <w:rsid w:val="00CE5CCB"/>
    <w:rsid w:val="00CF009B"/>
    <w:rsid w:val="00CF1CA0"/>
    <w:rsid w:val="00CF3029"/>
    <w:rsid w:val="00CF406D"/>
    <w:rsid w:val="00CF628C"/>
    <w:rsid w:val="00CF7C85"/>
    <w:rsid w:val="00D020A4"/>
    <w:rsid w:val="00D029AD"/>
    <w:rsid w:val="00D030EB"/>
    <w:rsid w:val="00D033DF"/>
    <w:rsid w:val="00D03DC3"/>
    <w:rsid w:val="00D04659"/>
    <w:rsid w:val="00D0520C"/>
    <w:rsid w:val="00D05659"/>
    <w:rsid w:val="00D0580C"/>
    <w:rsid w:val="00D05822"/>
    <w:rsid w:val="00D06692"/>
    <w:rsid w:val="00D06996"/>
    <w:rsid w:val="00D1167E"/>
    <w:rsid w:val="00D13137"/>
    <w:rsid w:val="00D13728"/>
    <w:rsid w:val="00D14E11"/>
    <w:rsid w:val="00D15EA1"/>
    <w:rsid w:val="00D164E5"/>
    <w:rsid w:val="00D17CB0"/>
    <w:rsid w:val="00D20DDF"/>
    <w:rsid w:val="00D21778"/>
    <w:rsid w:val="00D21F2C"/>
    <w:rsid w:val="00D232FE"/>
    <w:rsid w:val="00D23944"/>
    <w:rsid w:val="00D23E63"/>
    <w:rsid w:val="00D24AE8"/>
    <w:rsid w:val="00D24FCD"/>
    <w:rsid w:val="00D26AEA"/>
    <w:rsid w:val="00D279F0"/>
    <w:rsid w:val="00D31252"/>
    <w:rsid w:val="00D32AA1"/>
    <w:rsid w:val="00D32ADE"/>
    <w:rsid w:val="00D340D6"/>
    <w:rsid w:val="00D34602"/>
    <w:rsid w:val="00D4040E"/>
    <w:rsid w:val="00D428BE"/>
    <w:rsid w:val="00D42D9C"/>
    <w:rsid w:val="00D43156"/>
    <w:rsid w:val="00D46F21"/>
    <w:rsid w:val="00D4737A"/>
    <w:rsid w:val="00D5238B"/>
    <w:rsid w:val="00D52516"/>
    <w:rsid w:val="00D52D34"/>
    <w:rsid w:val="00D53665"/>
    <w:rsid w:val="00D539CC"/>
    <w:rsid w:val="00D54070"/>
    <w:rsid w:val="00D55570"/>
    <w:rsid w:val="00D56CC4"/>
    <w:rsid w:val="00D57325"/>
    <w:rsid w:val="00D60004"/>
    <w:rsid w:val="00D60180"/>
    <w:rsid w:val="00D6269E"/>
    <w:rsid w:val="00D626AC"/>
    <w:rsid w:val="00D64204"/>
    <w:rsid w:val="00D651C6"/>
    <w:rsid w:val="00D659BA"/>
    <w:rsid w:val="00D667A7"/>
    <w:rsid w:val="00D66D5E"/>
    <w:rsid w:val="00D70AC9"/>
    <w:rsid w:val="00D713E2"/>
    <w:rsid w:val="00D72052"/>
    <w:rsid w:val="00D72EB2"/>
    <w:rsid w:val="00D7345E"/>
    <w:rsid w:val="00D74E39"/>
    <w:rsid w:val="00D75B16"/>
    <w:rsid w:val="00D76090"/>
    <w:rsid w:val="00D76461"/>
    <w:rsid w:val="00D76BCB"/>
    <w:rsid w:val="00D76C75"/>
    <w:rsid w:val="00D8519A"/>
    <w:rsid w:val="00D862CB"/>
    <w:rsid w:val="00D866F9"/>
    <w:rsid w:val="00D86799"/>
    <w:rsid w:val="00D86E90"/>
    <w:rsid w:val="00D8750E"/>
    <w:rsid w:val="00D87A75"/>
    <w:rsid w:val="00D91729"/>
    <w:rsid w:val="00D95107"/>
    <w:rsid w:val="00D95166"/>
    <w:rsid w:val="00D96A6E"/>
    <w:rsid w:val="00DA09C5"/>
    <w:rsid w:val="00DA2FE0"/>
    <w:rsid w:val="00DA320B"/>
    <w:rsid w:val="00DA45C7"/>
    <w:rsid w:val="00DA4CD5"/>
    <w:rsid w:val="00DA5E2E"/>
    <w:rsid w:val="00DA7928"/>
    <w:rsid w:val="00DB0B1F"/>
    <w:rsid w:val="00DB383E"/>
    <w:rsid w:val="00DB3E22"/>
    <w:rsid w:val="00DB4CD9"/>
    <w:rsid w:val="00DC1033"/>
    <w:rsid w:val="00DC1134"/>
    <w:rsid w:val="00DC1924"/>
    <w:rsid w:val="00DC19BC"/>
    <w:rsid w:val="00DC3471"/>
    <w:rsid w:val="00DC34B0"/>
    <w:rsid w:val="00DC384B"/>
    <w:rsid w:val="00DC432E"/>
    <w:rsid w:val="00DC61F8"/>
    <w:rsid w:val="00DC68C2"/>
    <w:rsid w:val="00DC6A61"/>
    <w:rsid w:val="00DD06E6"/>
    <w:rsid w:val="00DD06F9"/>
    <w:rsid w:val="00DD16F8"/>
    <w:rsid w:val="00DD4BC9"/>
    <w:rsid w:val="00DD542E"/>
    <w:rsid w:val="00DD7B2B"/>
    <w:rsid w:val="00DD7F62"/>
    <w:rsid w:val="00DE0293"/>
    <w:rsid w:val="00DE1BC6"/>
    <w:rsid w:val="00DE3A07"/>
    <w:rsid w:val="00DE3FFB"/>
    <w:rsid w:val="00DE431B"/>
    <w:rsid w:val="00DE618B"/>
    <w:rsid w:val="00DE626F"/>
    <w:rsid w:val="00DF10FF"/>
    <w:rsid w:val="00DF2881"/>
    <w:rsid w:val="00DF2DB8"/>
    <w:rsid w:val="00DF4013"/>
    <w:rsid w:val="00DF585B"/>
    <w:rsid w:val="00DF64CE"/>
    <w:rsid w:val="00DF7E9E"/>
    <w:rsid w:val="00E01A09"/>
    <w:rsid w:val="00E0226A"/>
    <w:rsid w:val="00E03276"/>
    <w:rsid w:val="00E0435D"/>
    <w:rsid w:val="00E052CD"/>
    <w:rsid w:val="00E05F80"/>
    <w:rsid w:val="00E07734"/>
    <w:rsid w:val="00E07929"/>
    <w:rsid w:val="00E11E02"/>
    <w:rsid w:val="00E13060"/>
    <w:rsid w:val="00E14D55"/>
    <w:rsid w:val="00E175F2"/>
    <w:rsid w:val="00E2009E"/>
    <w:rsid w:val="00E211F0"/>
    <w:rsid w:val="00E227DA"/>
    <w:rsid w:val="00E22A59"/>
    <w:rsid w:val="00E22EAC"/>
    <w:rsid w:val="00E236F9"/>
    <w:rsid w:val="00E2544C"/>
    <w:rsid w:val="00E25668"/>
    <w:rsid w:val="00E270E3"/>
    <w:rsid w:val="00E2753D"/>
    <w:rsid w:val="00E279D0"/>
    <w:rsid w:val="00E3076E"/>
    <w:rsid w:val="00E350E9"/>
    <w:rsid w:val="00E36311"/>
    <w:rsid w:val="00E40338"/>
    <w:rsid w:val="00E40365"/>
    <w:rsid w:val="00E40D47"/>
    <w:rsid w:val="00E40E04"/>
    <w:rsid w:val="00E40F58"/>
    <w:rsid w:val="00E42C3D"/>
    <w:rsid w:val="00E443E5"/>
    <w:rsid w:val="00E44783"/>
    <w:rsid w:val="00E5035A"/>
    <w:rsid w:val="00E525B6"/>
    <w:rsid w:val="00E52838"/>
    <w:rsid w:val="00E52BAA"/>
    <w:rsid w:val="00E532C4"/>
    <w:rsid w:val="00E53709"/>
    <w:rsid w:val="00E53BC4"/>
    <w:rsid w:val="00E57174"/>
    <w:rsid w:val="00E571B4"/>
    <w:rsid w:val="00E57321"/>
    <w:rsid w:val="00E612EA"/>
    <w:rsid w:val="00E6166A"/>
    <w:rsid w:val="00E617A6"/>
    <w:rsid w:val="00E630DD"/>
    <w:rsid w:val="00E635FF"/>
    <w:rsid w:val="00E65086"/>
    <w:rsid w:val="00E6597B"/>
    <w:rsid w:val="00E65D9C"/>
    <w:rsid w:val="00E6680F"/>
    <w:rsid w:val="00E6726F"/>
    <w:rsid w:val="00E7047F"/>
    <w:rsid w:val="00E729CA"/>
    <w:rsid w:val="00E72F14"/>
    <w:rsid w:val="00E735F8"/>
    <w:rsid w:val="00E73B54"/>
    <w:rsid w:val="00E75509"/>
    <w:rsid w:val="00E75C2C"/>
    <w:rsid w:val="00E76279"/>
    <w:rsid w:val="00E765F5"/>
    <w:rsid w:val="00E767B4"/>
    <w:rsid w:val="00E81BA0"/>
    <w:rsid w:val="00E82779"/>
    <w:rsid w:val="00E8383B"/>
    <w:rsid w:val="00E839E2"/>
    <w:rsid w:val="00E851CB"/>
    <w:rsid w:val="00E855FE"/>
    <w:rsid w:val="00E86835"/>
    <w:rsid w:val="00E90310"/>
    <w:rsid w:val="00E94145"/>
    <w:rsid w:val="00E94E69"/>
    <w:rsid w:val="00E9727F"/>
    <w:rsid w:val="00E975D2"/>
    <w:rsid w:val="00EA08A7"/>
    <w:rsid w:val="00EA0C0D"/>
    <w:rsid w:val="00EA1A5F"/>
    <w:rsid w:val="00EA4FEB"/>
    <w:rsid w:val="00EA5A6E"/>
    <w:rsid w:val="00EB008B"/>
    <w:rsid w:val="00EB0D57"/>
    <w:rsid w:val="00EB0E22"/>
    <w:rsid w:val="00EB28BF"/>
    <w:rsid w:val="00EB397E"/>
    <w:rsid w:val="00EB5724"/>
    <w:rsid w:val="00EB68BB"/>
    <w:rsid w:val="00EB69B6"/>
    <w:rsid w:val="00EC106D"/>
    <w:rsid w:val="00EC190B"/>
    <w:rsid w:val="00EC283F"/>
    <w:rsid w:val="00EC3AC8"/>
    <w:rsid w:val="00EC4215"/>
    <w:rsid w:val="00EC4525"/>
    <w:rsid w:val="00ED09E9"/>
    <w:rsid w:val="00ED1761"/>
    <w:rsid w:val="00ED1D96"/>
    <w:rsid w:val="00ED67FF"/>
    <w:rsid w:val="00ED7B97"/>
    <w:rsid w:val="00ED7DE2"/>
    <w:rsid w:val="00EE1A52"/>
    <w:rsid w:val="00EE2D01"/>
    <w:rsid w:val="00EE315B"/>
    <w:rsid w:val="00EE647F"/>
    <w:rsid w:val="00EE6558"/>
    <w:rsid w:val="00EF18B0"/>
    <w:rsid w:val="00EF2717"/>
    <w:rsid w:val="00EF2B45"/>
    <w:rsid w:val="00EF3E0A"/>
    <w:rsid w:val="00EF5338"/>
    <w:rsid w:val="00EF5D04"/>
    <w:rsid w:val="00EF70D7"/>
    <w:rsid w:val="00EF7D5B"/>
    <w:rsid w:val="00F00B84"/>
    <w:rsid w:val="00F00C7E"/>
    <w:rsid w:val="00F01077"/>
    <w:rsid w:val="00F02BB7"/>
    <w:rsid w:val="00F0473D"/>
    <w:rsid w:val="00F059FF"/>
    <w:rsid w:val="00F05D19"/>
    <w:rsid w:val="00F11693"/>
    <w:rsid w:val="00F14351"/>
    <w:rsid w:val="00F14590"/>
    <w:rsid w:val="00F14C67"/>
    <w:rsid w:val="00F15062"/>
    <w:rsid w:val="00F16C48"/>
    <w:rsid w:val="00F1729E"/>
    <w:rsid w:val="00F2198E"/>
    <w:rsid w:val="00F21F52"/>
    <w:rsid w:val="00F2335F"/>
    <w:rsid w:val="00F239CB"/>
    <w:rsid w:val="00F240FE"/>
    <w:rsid w:val="00F24770"/>
    <w:rsid w:val="00F24A8B"/>
    <w:rsid w:val="00F24F53"/>
    <w:rsid w:val="00F310FE"/>
    <w:rsid w:val="00F31DE8"/>
    <w:rsid w:val="00F32D70"/>
    <w:rsid w:val="00F3303A"/>
    <w:rsid w:val="00F335FE"/>
    <w:rsid w:val="00F33804"/>
    <w:rsid w:val="00F34D3C"/>
    <w:rsid w:val="00F35F15"/>
    <w:rsid w:val="00F35FDB"/>
    <w:rsid w:val="00F369DA"/>
    <w:rsid w:val="00F36FD4"/>
    <w:rsid w:val="00F40058"/>
    <w:rsid w:val="00F4033D"/>
    <w:rsid w:val="00F40CD7"/>
    <w:rsid w:val="00F42038"/>
    <w:rsid w:val="00F43D26"/>
    <w:rsid w:val="00F45A5B"/>
    <w:rsid w:val="00F45B91"/>
    <w:rsid w:val="00F4744C"/>
    <w:rsid w:val="00F5085C"/>
    <w:rsid w:val="00F511A1"/>
    <w:rsid w:val="00F51217"/>
    <w:rsid w:val="00F51D82"/>
    <w:rsid w:val="00F545C9"/>
    <w:rsid w:val="00F54823"/>
    <w:rsid w:val="00F54EEE"/>
    <w:rsid w:val="00F54F38"/>
    <w:rsid w:val="00F55912"/>
    <w:rsid w:val="00F564A0"/>
    <w:rsid w:val="00F57688"/>
    <w:rsid w:val="00F62CC3"/>
    <w:rsid w:val="00F642FB"/>
    <w:rsid w:val="00F64707"/>
    <w:rsid w:val="00F65026"/>
    <w:rsid w:val="00F65878"/>
    <w:rsid w:val="00F65A70"/>
    <w:rsid w:val="00F65B6F"/>
    <w:rsid w:val="00F67030"/>
    <w:rsid w:val="00F67DB1"/>
    <w:rsid w:val="00F7007B"/>
    <w:rsid w:val="00F711ED"/>
    <w:rsid w:val="00F71401"/>
    <w:rsid w:val="00F75AC2"/>
    <w:rsid w:val="00F75ADB"/>
    <w:rsid w:val="00F75AF3"/>
    <w:rsid w:val="00F803C1"/>
    <w:rsid w:val="00F80C0F"/>
    <w:rsid w:val="00F81EF7"/>
    <w:rsid w:val="00F821F3"/>
    <w:rsid w:val="00F82B40"/>
    <w:rsid w:val="00F83958"/>
    <w:rsid w:val="00F83B7A"/>
    <w:rsid w:val="00F850BC"/>
    <w:rsid w:val="00F85386"/>
    <w:rsid w:val="00F866DC"/>
    <w:rsid w:val="00F86869"/>
    <w:rsid w:val="00F900A0"/>
    <w:rsid w:val="00F913F1"/>
    <w:rsid w:val="00F933A3"/>
    <w:rsid w:val="00F95844"/>
    <w:rsid w:val="00F95EC9"/>
    <w:rsid w:val="00F95F15"/>
    <w:rsid w:val="00F96AF3"/>
    <w:rsid w:val="00F96C92"/>
    <w:rsid w:val="00F97544"/>
    <w:rsid w:val="00F977EA"/>
    <w:rsid w:val="00F97BB9"/>
    <w:rsid w:val="00FA0EC3"/>
    <w:rsid w:val="00FA1167"/>
    <w:rsid w:val="00FA15C9"/>
    <w:rsid w:val="00FA1A69"/>
    <w:rsid w:val="00FA2440"/>
    <w:rsid w:val="00FA3059"/>
    <w:rsid w:val="00FA50D4"/>
    <w:rsid w:val="00FA5AB6"/>
    <w:rsid w:val="00FA5B92"/>
    <w:rsid w:val="00FA6977"/>
    <w:rsid w:val="00FA6D64"/>
    <w:rsid w:val="00FA753D"/>
    <w:rsid w:val="00FB27B0"/>
    <w:rsid w:val="00FB375A"/>
    <w:rsid w:val="00FB3B99"/>
    <w:rsid w:val="00FB4B9F"/>
    <w:rsid w:val="00FB4C83"/>
    <w:rsid w:val="00FB4F0C"/>
    <w:rsid w:val="00FB6261"/>
    <w:rsid w:val="00FB7AF2"/>
    <w:rsid w:val="00FC14DB"/>
    <w:rsid w:val="00FC155D"/>
    <w:rsid w:val="00FC2033"/>
    <w:rsid w:val="00FC270A"/>
    <w:rsid w:val="00FC2D66"/>
    <w:rsid w:val="00FC4C9A"/>
    <w:rsid w:val="00FC77B2"/>
    <w:rsid w:val="00FD0268"/>
    <w:rsid w:val="00FD0E78"/>
    <w:rsid w:val="00FD17B0"/>
    <w:rsid w:val="00FD3ACF"/>
    <w:rsid w:val="00FD4E1E"/>
    <w:rsid w:val="00FD4E8B"/>
    <w:rsid w:val="00FD55FB"/>
    <w:rsid w:val="00FD5BA0"/>
    <w:rsid w:val="00FD7592"/>
    <w:rsid w:val="00FD76FF"/>
    <w:rsid w:val="00FD7A29"/>
    <w:rsid w:val="00FD7F22"/>
    <w:rsid w:val="00FE052F"/>
    <w:rsid w:val="00FE080B"/>
    <w:rsid w:val="00FE0E6F"/>
    <w:rsid w:val="00FE1300"/>
    <w:rsid w:val="00FE20E6"/>
    <w:rsid w:val="00FE2204"/>
    <w:rsid w:val="00FE2A3B"/>
    <w:rsid w:val="00FE6E5A"/>
    <w:rsid w:val="00FE780E"/>
    <w:rsid w:val="00FF195B"/>
    <w:rsid w:val="00FF3F64"/>
    <w:rsid w:val="00FF6B57"/>
    <w:rsid w:val="00FF785F"/>
    <w:rsid w:val="0118C664"/>
    <w:rsid w:val="0125E009"/>
    <w:rsid w:val="0222B207"/>
    <w:rsid w:val="0224125D"/>
    <w:rsid w:val="02422554"/>
    <w:rsid w:val="02661AEA"/>
    <w:rsid w:val="02B07DFD"/>
    <w:rsid w:val="0327F1C7"/>
    <w:rsid w:val="037B4D69"/>
    <w:rsid w:val="03905586"/>
    <w:rsid w:val="03FF78B8"/>
    <w:rsid w:val="04485075"/>
    <w:rsid w:val="04EDCDA9"/>
    <w:rsid w:val="056B58CC"/>
    <w:rsid w:val="05F1BF60"/>
    <w:rsid w:val="0664E568"/>
    <w:rsid w:val="06759170"/>
    <w:rsid w:val="06956A9F"/>
    <w:rsid w:val="074552E6"/>
    <w:rsid w:val="0788D616"/>
    <w:rsid w:val="094D912D"/>
    <w:rsid w:val="096476A2"/>
    <w:rsid w:val="0978C9ED"/>
    <w:rsid w:val="09B84E41"/>
    <w:rsid w:val="09B89561"/>
    <w:rsid w:val="0A133C1B"/>
    <w:rsid w:val="0C18C409"/>
    <w:rsid w:val="0C393847"/>
    <w:rsid w:val="0C6AD28A"/>
    <w:rsid w:val="0D689118"/>
    <w:rsid w:val="0DAA4310"/>
    <w:rsid w:val="0DB2FADB"/>
    <w:rsid w:val="0DB4946A"/>
    <w:rsid w:val="0DBBD9E8"/>
    <w:rsid w:val="0DEDE8C9"/>
    <w:rsid w:val="0E5131B1"/>
    <w:rsid w:val="0E80FEFD"/>
    <w:rsid w:val="0EA99680"/>
    <w:rsid w:val="0EE43CDD"/>
    <w:rsid w:val="0EFBBCF4"/>
    <w:rsid w:val="1062BD23"/>
    <w:rsid w:val="10983515"/>
    <w:rsid w:val="10EC352C"/>
    <w:rsid w:val="11523C04"/>
    <w:rsid w:val="11D2E495"/>
    <w:rsid w:val="11E13742"/>
    <w:rsid w:val="11E2A898"/>
    <w:rsid w:val="11FA9D68"/>
    <w:rsid w:val="11FD7515"/>
    <w:rsid w:val="12699A59"/>
    <w:rsid w:val="1288058D"/>
    <w:rsid w:val="12A68402"/>
    <w:rsid w:val="12DA6364"/>
    <w:rsid w:val="1423D5EE"/>
    <w:rsid w:val="14A7227B"/>
    <w:rsid w:val="14B3AAB2"/>
    <w:rsid w:val="15887E82"/>
    <w:rsid w:val="168B5A23"/>
    <w:rsid w:val="17801270"/>
    <w:rsid w:val="17EB1027"/>
    <w:rsid w:val="1856BE5D"/>
    <w:rsid w:val="189044DE"/>
    <w:rsid w:val="1957F561"/>
    <w:rsid w:val="19BB151D"/>
    <w:rsid w:val="1A5FD4CA"/>
    <w:rsid w:val="1B063AD3"/>
    <w:rsid w:val="1B1A4116"/>
    <w:rsid w:val="1B6070F6"/>
    <w:rsid w:val="1B6EF12B"/>
    <w:rsid w:val="1BD49CDF"/>
    <w:rsid w:val="1C21712A"/>
    <w:rsid w:val="1C6417B2"/>
    <w:rsid w:val="1CF54BD1"/>
    <w:rsid w:val="1CF8B522"/>
    <w:rsid w:val="1DC23D99"/>
    <w:rsid w:val="1DD2A5BA"/>
    <w:rsid w:val="1DE1E25B"/>
    <w:rsid w:val="1DE932CC"/>
    <w:rsid w:val="1E1F752D"/>
    <w:rsid w:val="1ED61668"/>
    <w:rsid w:val="1F45520A"/>
    <w:rsid w:val="1FA51C65"/>
    <w:rsid w:val="1FCC4004"/>
    <w:rsid w:val="20E1226B"/>
    <w:rsid w:val="21027555"/>
    <w:rsid w:val="213B69C0"/>
    <w:rsid w:val="2162B07E"/>
    <w:rsid w:val="21824B22"/>
    <w:rsid w:val="230EE9DB"/>
    <w:rsid w:val="23ABD7FD"/>
    <w:rsid w:val="23E8444D"/>
    <w:rsid w:val="23F6E3FC"/>
    <w:rsid w:val="2441E73E"/>
    <w:rsid w:val="24F59B16"/>
    <w:rsid w:val="251BD9CC"/>
    <w:rsid w:val="2543DD6A"/>
    <w:rsid w:val="2547A85E"/>
    <w:rsid w:val="25D3CBE3"/>
    <w:rsid w:val="2735B57C"/>
    <w:rsid w:val="27DF8ED8"/>
    <w:rsid w:val="27E8E186"/>
    <w:rsid w:val="284A9C7C"/>
    <w:rsid w:val="28720244"/>
    <w:rsid w:val="288E46CC"/>
    <w:rsid w:val="28F159F4"/>
    <w:rsid w:val="296CD561"/>
    <w:rsid w:val="2A0808AE"/>
    <w:rsid w:val="2A129D76"/>
    <w:rsid w:val="2A69230B"/>
    <w:rsid w:val="2A9DC0EA"/>
    <w:rsid w:val="2C10F079"/>
    <w:rsid w:val="2D52D0FC"/>
    <w:rsid w:val="2E0B982A"/>
    <w:rsid w:val="2EE1F97F"/>
    <w:rsid w:val="2F270DCE"/>
    <w:rsid w:val="2F70A190"/>
    <w:rsid w:val="2F76CE71"/>
    <w:rsid w:val="2F95100E"/>
    <w:rsid w:val="30092C0D"/>
    <w:rsid w:val="311ADF40"/>
    <w:rsid w:val="319152C6"/>
    <w:rsid w:val="31A6F6E9"/>
    <w:rsid w:val="31E71DA9"/>
    <w:rsid w:val="3306453F"/>
    <w:rsid w:val="33F7CEA8"/>
    <w:rsid w:val="34644126"/>
    <w:rsid w:val="34B12E4D"/>
    <w:rsid w:val="34B62361"/>
    <w:rsid w:val="3509818D"/>
    <w:rsid w:val="374F81A6"/>
    <w:rsid w:val="3857AAC3"/>
    <w:rsid w:val="386A4660"/>
    <w:rsid w:val="38CB23F2"/>
    <w:rsid w:val="399BED37"/>
    <w:rsid w:val="399F1EFE"/>
    <w:rsid w:val="3A10071D"/>
    <w:rsid w:val="3A155362"/>
    <w:rsid w:val="3A264757"/>
    <w:rsid w:val="3A934311"/>
    <w:rsid w:val="3AC62834"/>
    <w:rsid w:val="3B0D6231"/>
    <w:rsid w:val="3B1306B1"/>
    <w:rsid w:val="3B1434A6"/>
    <w:rsid w:val="3BC82494"/>
    <w:rsid w:val="3CBDE6DA"/>
    <w:rsid w:val="3CC0F162"/>
    <w:rsid w:val="3CD63B4F"/>
    <w:rsid w:val="3D1DF24E"/>
    <w:rsid w:val="3D3F712E"/>
    <w:rsid w:val="3D55ECB5"/>
    <w:rsid w:val="3DC397CE"/>
    <w:rsid w:val="3DCF5658"/>
    <w:rsid w:val="3E8F2DB0"/>
    <w:rsid w:val="3EC52AEE"/>
    <w:rsid w:val="3EEFEF76"/>
    <w:rsid w:val="3F4367C2"/>
    <w:rsid w:val="3F7154FD"/>
    <w:rsid w:val="3FF5871F"/>
    <w:rsid w:val="40317840"/>
    <w:rsid w:val="40F8A4D2"/>
    <w:rsid w:val="4123B9AA"/>
    <w:rsid w:val="416B4161"/>
    <w:rsid w:val="41DA9E23"/>
    <w:rsid w:val="41DB8483"/>
    <w:rsid w:val="42A2C77B"/>
    <w:rsid w:val="42FEE53E"/>
    <w:rsid w:val="42FF7F0B"/>
    <w:rsid w:val="43155F64"/>
    <w:rsid w:val="43A3BE85"/>
    <w:rsid w:val="43CE6361"/>
    <w:rsid w:val="43DC3C63"/>
    <w:rsid w:val="44F8E233"/>
    <w:rsid w:val="451D056E"/>
    <w:rsid w:val="45536767"/>
    <w:rsid w:val="458CA4A9"/>
    <w:rsid w:val="45B9468C"/>
    <w:rsid w:val="464C37FC"/>
    <w:rsid w:val="46C631DC"/>
    <w:rsid w:val="46DAAE0D"/>
    <w:rsid w:val="46FC8E37"/>
    <w:rsid w:val="47280D54"/>
    <w:rsid w:val="48A19762"/>
    <w:rsid w:val="490B5E8E"/>
    <w:rsid w:val="493BD433"/>
    <w:rsid w:val="494B090C"/>
    <w:rsid w:val="49C9E83D"/>
    <w:rsid w:val="49E8E8B5"/>
    <w:rsid w:val="4B5861E0"/>
    <w:rsid w:val="4BC1942B"/>
    <w:rsid w:val="4BDED88D"/>
    <w:rsid w:val="4C04A80F"/>
    <w:rsid w:val="4C82A9CE"/>
    <w:rsid w:val="4D321A14"/>
    <w:rsid w:val="4E5B3B97"/>
    <w:rsid w:val="4F38E6A0"/>
    <w:rsid w:val="4F5CF4A4"/>
    <w:rsid w:val="50224587"/>
    <w:rsid w:val="516B83AD"/>
    <w:rsid w:val="517F3F02"/>
    <w:rsid w:val="52254E3A"/>
    <w:rsid w:val="53AAA931"/>
    <w:rsid w:val="541DE6BE"/>
    <w:rsid w:val="544F9399"/>
    <w:rsid w:val="54958BCB"/>
    <w:rsid w:val="552A0325"/>
    <w:rsid w:val="553E2BDE"/>
    <w:rsid w:val="556CA8EA"/>
    <w:rsid w:val="55F8798D"/>
    <w:rsid w:val="567569AB"/>
    <w:rsid w:val="56C1D706"/>
    <w:rsid w:val="5716421C"/>
    <w:rsid w:val="571E2DFF"/>
    <w:rsid w:val="57212897"/>
    <w:rsid w:val="573ED32E"/>
    <w:rsid w:val="5808D0E0"/>
    <w:rsid w:val="58948FBE"/>
    <w:rsid w:val="591D7002"/>
    <w:rsid w:val="59292CAE"/>
    <w:rsid w:val="59FC6B38"/>
    <w:rsid w:val="5B087EC0"/>
    <w:rsid w:val="5B3D87CF"/>
    <w:rsid w:val="5B784561"/>
    <w:rsid w:val="5BC7DA62"/>
    <w:rsid w:val="5C7C341D"/>
    <w:rsid w:val="5CFEBD38"/>
    <w:rsid w:val="5D200A02"/>
    <w:rsid w:val="5D9685E4"/>
    <w:rsid w:val="5DD0583F"/>
    <w:rsid w:val="5E1147D7"/>
    <w:rsid w:val="5E3AD65E"/>
    <w:rsid w:val="5E3E65B3"/>
    <w:rsid w:val="5EE7D8FB"/>
    <w:rsid w:val="5F160F6D"/>
    <w:rsid w:val="5F3A0AD1"/>
    <w:rsid w:val="5FE7BA69"/>
    <w:rsid w:val="60118462"/>
    <w:rsid w:val="60D431A1"/>
    <w:rsid w:val="60E73055"/>
    <w:rsid w:val="610E74E2"/>
    <w:rsid w:val="612D3C19"/>
    <w:rsid w:val="61315AF2"/>
    <w:rsid w:val="6148E899"/>
    <w:rsid w:val="618102C4"/>
    <w:rsid w:val="6186D86E"/>
    <w:rsid w:val="62038689"/>
    <w:rsid w:val="632F34F7"/>
    <w:rsid w:val="64601C5F"/>
    <w:rsid w:val="646E95A4"/>
    <w:rsid w:val="64DC5C87"/>
    <w:rsid w:val="65456E38"/>
    <w:rsid w:val="657B7DCD"/>
    <w:rsid w:val="676B4971"/>
    <w:rsid w:val="683AE137"/>
    <w:rsid w:val="696F194F"/>
    <w:rsid w:val="69862C73"/>
    <w:rsid w:val="699F1475"/>
    <w:rsid w:val="6B844B29"/>
    <w:rsid w:val="6B93FFBE"/>
    <w:rsid w:val="6C338DE2"/>
    <w:rsid w:val="6C848E2E"/>
    <w:rsid w:val="6CF1B543"/>
    <w:rsid w:val="6CF2DF54"/>
    <w:rsid w:val="6D587971"/>
    <w:rsid w:val="6DE355C9"/>
    <w:rsid w:val="6E35C76A"/>
    <w:rsid w:val="70A48A96"/>
    <w:rsid w:val="7179EADC"/>
    <w:rsid w:val="71A70AF6"/>
    <w:rsid w:val="72377CA2"/>
    <w:rsid w:val="727DFAE1"/>
    <w:rsid w:val="7323A300"/>
    <w:rsid w:val="7474ECC7"/>
    <w:rsid w:val="749E9AAB"/>
    <w:rsid w:val="74A55EFB"/>
    <w:rsid w:val="751391DD"/>
    <w:rsid w:val="752833F8"/>
    <w:rsid w:val="757147BB"/>
    <w:rsid w:val="7590AEE0"/>
    <w:rsid w:val="75B9AA32"/>
    <w:rsid w:val="762B7074"/>
    <w:rsid w:val="76483AD1"/>
    <w:rsid w:val="76668390"/>
    <w:rsid w:val="76C52238"/>
    <w:rsid w:val="770F3893"/>
    <w:rsid w:val="77B05FA0"/>
    <w:rsid w:val="77D09FB1"/>
    <w:rsid w:val="782AA200"/>
    <w:rsid w:val="783ED5FF"/>
    <w:rsid w:val="785C1B2E"/>
    <w:rsid w:val="788D836F"/>
    <w:rsid w:val="7A104704"/>
    <w:rsid w:val="7A4716BE"/>
    <w:rsid w:val="7B1B3512"/>
    <w:rsid w:val="7B2E7C24"/>
    <w:rsid w:val="7B4E8A07"/>
    <w:rsid w:val="7B76078C"/>
    <w:rsid w:val="7C25D2C8"/>
    <w:rsid w:val="7CD85553"/>
    <w:rsid w:val="7D8E74EB"/>
    <w:rsid w:val="7DE2C506"/>
    <w:rsid w:val="7F51CFCE"/>
    <w:rsid w:val="7F6D46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75D251"/>
  <w15:chartTrackingRefBased/>
  <w15:docId w15:val="{F0322F0F-CD1B-4868-B34E-AAE41681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D26"/>
  </w:style>
  <w:style w:type="paragraph" w:styleId="Heading1">
    <w:name w:val="heading 1"/>
    <w:basedOn w:val="Normal"/>
    <w:next w:val="Normal"/>
    <w:link w:val="Heading1Char"/>
    <w:uiPriority w:val="9"/>
    <w:qFormat/>
    <w:rsid w:val="0087120C"/>
    <w:pPr>
      <w:keepNext/>
      <w:keepLines/>
      <w:spacing w:before="240" w:after="0"/>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4B444A"/>
    <w:pPr>
      <w:keepNext/>
      <w:keepLines/>
      <w:spacing w:before="40" w:after="0"/>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link w:val="Heading3Char"/>
    <w:uiPriority w:val="9"/>
    <w:unhideWhenUsed/>
    <w:qFormat/>
    <w:rsid w:val="007D1860"/>
    <w:pPr>
      <w:keepNext/>
      <w:keepLines/>
      <w:spacing w:before="40" w:after="0"/>
      <w:outlineLvl w:val="2"/>
    </w:pPr>
    <w:rPr>
      <w:rFonts w:asciiTheme="majorHAnsi" w:eastAsiaTheme="majorEastAsia" w:hAnsiTheme="majorHAnsi" w:cstheme="majorBidi"/>
      <w:color w:val="1F3763" w:themeColor="accent1" w:themeShade="7F"/>
      <w:sz w:val="24"/>
      <w:szCs w:val="24"/>
      <w:lang w:val="en-GB"/>
    </w:rPr>
  </w:style>
  <w:style w:type="paragraph" w:styleId="Heading4">
    <w:name w:val="heading 4"/>
    <w:basedOn w:val="Normal"/>
    <w:next w:val="Normal"/>
    <w:link w:val="Heading4Char"/>
    <w:uiPriority w:val="9"/>
    <w:semiHidden/>
    <w:unhideWhenUsed/>
    <w:qFormat/>
    <w:rsid w:val="000C1DD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C1DD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C1DDE"/>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C1DD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C1DD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1DD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20C"/>
    <w:rPr>
      <w:rFonts w:asciiTheme="majorHAnsi" w:eastAsiaTheme="majorEastAsia" w:hAnsiTheme="majorHAnsi" w:cstheme="majorBidi"/>
      <w:color w:val="2F5496" w:themeColor="accent1" w:themeShade="BF"/>
      <w:sz w:val="32"/>
      <w:szCs w:val="32"/>
      <w:lang w:val="en-GB"/>
    </w:rPr>
  </w:style>
  <w:style w:type="character" w:customStyle="1" w:styleId="Heading3Char">
    <w:name w:val="Heading 3 Char"/>
    <w:basedOn w:val="DefaultParagraphFont"/>
    <w:link w:val="Heading3"/>
    <w:uiPriority w:val="9"/>
    <w:rsid w:val="007D1860"/>
    <w:rPr>
      <w:rFonts w:asciiTheme="majorHAnsi" w:eastAsiaTheme="majorEastAsia" w:hAnsiTheme="majorHAnsi" w:cstheme="majorBidi"/>
      <w:color w:val="1F3763" w:themeColor="accent1" w:themeShade="7F"/>
      <w:sz w:val="24"/>
      <w:szCs w:val="24"/>
      <w:lang w:val="en-GB"/>
    </w:rPr>
  </w:style>
  <w:style w:type="paragraph" w:styleId="ListParagraph">
    <w:name w:val="List Paragraph"/>
    <w:basedOn w:val="Normal"/>
    <w:uiPriority w:val="1"/>
    <w:qFormat/>
    <w:rsid w:val="00C94421"/>
    <w:pPr>
      <w:ind w:left="720"/>
      <w:contextualSpacing/>
    </w:pPr>
  </w:style>
  <w:style w:type="paragraph" w:styleId="Header">
    <w:name w:val="header"/>
    <w:basedOn w:val="Normal"/>
    <w:link w:val="HeaderChar"/>
    <w:uiPriority w:val="99"/>
    <w:unhideWhenUsed/>
    <w:rsid w:val="00335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201"/>
  </w:style>
  <w:style w:type="paragraph" w:styleId="Footer">
    <w:name w:val="footer"/>
    <w:basedOn w:val="Normal"/>
    <w:link w:val="FooterChar"/>
    <w:uiPriority w:val="99"/>
    <w:unhideWhenUsed/>
    <w:rsid w:val="00335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201"/>
  </w:style>
  <w:style w:type="character" w:styleId="CommentReference">
    <w:name w:val="annotation reference"/>
    <w:basedOn w:val="DefaultParagraphFont"/>
    <w:uiPriority w:val="99"/>
    <w:semiHidden/>
    <w:unhideWhenUsed/>
    <w:rsid w:val="0012218C"/>
    <w:rPr>
      <w:sz w:val="16"/>
      <w:szCs w:val="16"/>
    </w:rPr>
  </w:style>
  <w:style w:type="paragraph" w:styleId="CommentText">
    <w:name w:val="annotation text"/>
    <w:basedOn w:val="Normal"/>
    <w:link w:val="CommentTextChar"/>
    <w:uiPriority w:val="99"/>
    <w:semiHidden/>
    <w:unhideWhenUsed/>
    <w:rsid w:val="0012218C"/>
    <w:pPr>
      <w:spacing w:line="240" w:lineRule="auto"/>
    </w:pPr>
    <w:rPr>
      <w:sz w:val="20"/>
      <w:szCs w:val="20"/>
    </w:rPr>
  </w:style>
  <w:style w:type="character" w:customStyle="1" w:styleId="CommentTextChar">
    <w:name w:val="Comment Text Char"/>
    <w:basedOn w:val="DefaultParagraphFont"/>
    <w:link w:val="CommentText"/>
    <w:uiPriority w:val="99"/>
    <w:semiHidden/>
    <w:rsid w:val="0012218C"/>
    <w:rPr>
      <w:sz w:val="20"/>
      <w:szCs w:val="20"/>
    </w:rPr>
  </w:style>
  <w:style w:type="paragraph" w:styleId="CommentSubject">
    <w:name w:val="annotation subject"/>
    <w:basedOn w:val="CommentText"/>
    <w:next w:val="CommentText"/>
    <w:link w:val="CommentSubjectChar"/>
    <w:uiPriority w:val="99"/>
    <w:semiHidden/>
    <w:unhideWhenUsed/>
    <w:rsid w:val="0012218C"/>
    <w:rPr>
      <w:b/>
      <w:bCs/>
    </w:rPr>
  </w:style>
  <w:style w:type="character" w:customStyle="1" w:styleId="CommentSubjectChar">
    <w:name w:val="Comment Subject Char"/>
    <w:basedOn w:val="CommentTextChar"/>
    <w:link w:val="CommentSubject"/>
    <w:uiPriority w:val="99"/>
    <w:semiHidden/>
    <w:rsid w:val="0012218C"/>
    <w:rPr>
      <w:b/>
      <w:bCs/>
      <w:sz w:val="20"/>
      <w:szCs w:val="20"/>
    </w:rPr>
  </w:style>
  <w:style w:type="paragraph" w:styleId="BalloonText">
    <w:name w:val="Balloon Text"/>
    <w:basedOn w:val="Normal"/>
    <w:link w:val="BalloonTextChar"/>
    <w:uiPriority w:val="99"/>
    <w:semiHidden/>
    <w:unhideWhenUsed/>
    <w:rsid w:val="00FC2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D66"/>
    <w:rPr>
      <w:rFonts w:ascii="Segoe UI" w:hAnsi="Segoe UI" w:cs="Segoe UI"/>
      <w:sz w:val="18"/>
      <w:szCs w:val="18"/>
    </w:rPr>
  </w:style>
  <w:style w:type="paragraph" w:styleId="FootnoteText">
    <w:name w:val="footnote text"/>
    <w:basedOn w:val="Normal"/>
    <w:link w:val="FootnoteTextChar"/>
    <w:uiPriority w:val="99"/>
    <w:semiHidden/>
    <w:unhideWhenUsed/>
    <w:rsid w:val="000923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231B"/>
    <w:rPr>
      <w:sz w:val="20"/>
      <w:szCs w:val="20"/>
    </w:rPr>
  </w:style>
  <w:style w:type="character" w:styleId="FootnoteReference">
    <w:name w:val="footnote reference"/>
    <w:basedOn w:val="DefaultParagraphFont"/>
    <w:uiPriority w:val="99"/>
    <w:semiHidden/>
    <w:unhideWhenUsed/>
    <w:rsid w:val="0009231B"/>
    <w:rPr>
      <w:vertAlign w:val="superscript"/>
    </w:rPr>
  </w:style>
  <w:style w:type="character" w:styleId="Hyperlink">
    <w:name w:val="Hyperlink"/>
    <w:basedOn w:val="DefaultParagraphFont"/>
    <w:uiPriority w:val="99"/>
    <w:unhideWhenUsed/>
    <w:rsid w:val="0009231B"/>
    <w:rPr>
      <w:color w:val="0563C1" w:themeColor="hyperlink"/>
      <w:u w:val="single"/>
    </w:rPr>
  </w:style>
  <w:style w:type="paragraph" w:styleId="BodyText">
    <w:name w:val="Body Text"/>
    <w:basedOn w:val="Normal"/>
    <w:link w:val="BodyTextChar"/>
    <w:uiPriority w:val="1"/>
    <w:qFormat/>
    <w:rsid w:val="00AE3899"/>
    <w:pPr>
      <w:widowControl w:val="0"/>
      <w:autoSpaceDE w:val="0"/>
      <w:autoSpaceDN w:val="0"/>
      <w:spacing w:after="0" w:line="240" w:lineRule="auto"/>
    </w:pPr>
    <w:rPr>
      <w:rFonts w:ascii="Tahoma" w:eastAsia="Tahoma" w:hAnsi="Tahoma" w:cs="Tahoma"/>
      <w:sz w:val="18"/>
      <w:szCs w:val="18"/>
      <w:lang w:eastAsia="en-US"/>
    </w:rPr>
  </w:style>
  <w:style w:type="character" w:customStyle="1" w:styleId="BodyTextChar">
    <w:name w:val="Body Text Char"/>
    <w:basedOn w:val="DefaultParagraphFont"/>
    <w:link w:val="BodyText"/>
    <w:uiPriority w:val="1"/>
    <w:rsid w:val="00AE3899"/>
    <w:rPr>
      <w:rFonts w:ascii="Tahoma" w:eastAsia="Tahoma" w:hAnsi="Tahoma" w:cs="Tahoma"/>
      <w:sz w:val="18"/>
      <w:szCs w:val="18"/>
      <w:lang w:eastAsia="en-US"/>
    </w:rPr>
  </w:style>
  <w:style w:type="numbering" w:customStyle="1" w:styleId="MG1">
    <w:name w:val="MG1"/>
    <w:uiPriority w:val="99"/>
    <w:rsid w:val="00A84575"/>
    <w:pPr>
      <w:numPr>
        <w:numId w:val="3"/>
      </w:numPr>
    </w:pPr>
  </w:style>
  <w:style w:type="table" w:styleId="TableGrid">
    <w:name w:val="Table Grid"/>
    <w:basedOn w:val="TableNormal"/>
    <w:uiPriority w:val="39"/>
    <w:rsid w:val="00F0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7262EE"/>
    <w:rPr>
      <w:color w:val="605E5C"/>
      <w:shd w:val="clear" w:color="auto" w:fill="E1DFDD"/>
    </w:rPr>
  </w:style>
  <w:style w:type="character" w:styleId="Mention">
    <w:name w:val="Mention"/>
    <w:basedOn w:val="DefaultParagraphFont"/>
    <w:uiPriority w:val="99"/>
    <w:unhideWhenUsed/>
    <w:rsid w:val="007029E0"/>
    <w:rPr>
      <w:color w:val="2B579A"/>
      <w:shd w:val="clear" w:color="auto" w:fill="E1DFDD"/>
    </w:rPr>
  </w:style>
  <w:style w:type="numbering" w:customStyle="1" w:styleId="Style1">
    <w:name w:val="Style1"/>
    <w:uiPriority w:val="99"/>
    <w:rsid w:val="00505EAF"/>
    <w:pPr>
      <w:numPr>
        <w:numId w:val="11"/>
      </w:numPr>
    </w:pPr>
  </w:style>
  <w:style w:type="character" w:customStyle="1" w:styleId="Heading2Char">
    <w:name w:val="Heading 2 Char"/>
    <w:basedOn w:val="DefaultParagraphFont"/>
    <w:link w:val="Heading2"/>
    <w:uiPriority w:val="9"/>
    <w:rsid w:val="004B444A"/>
    <w:rPr>
      <w:rFonts w:asciiTheme="majorHAnsi" w:eastAsiaTheme="majorEastAsia" w:hAnsiTheme="majorHAnsi" w:cstheme="majorBidi"/>
      <w:color w:val="2F5496" w:themeColor="accent1" w:themeShade="BF"/>
      <w:sz w:val="26"/>
      <w:szCs w:val="26"/>
      <w:lang w:val="en-GB"/>
    </w:rPr>
  </w:style>
  <w:style w:type="paragraph" w:customStyle="1" w:styleId="TableParagraph">
    <w:name w:val="Table Paragraph"/>
    <w:basedOn w:val="Normal"/>
    <w:uiPriority w:val="1"/>
    <w:qFormat/>
    <w:rsid w:val="004B444A"/>
    <w:pPr>
      <w:widowControl w:val="0"/>
      <w:autoSpaceDE w:val="0"/>
      <w:autoSpaceDN w:val="0"/>
      <w:spacing w:after="0" w:line="240" w:lineRule="auto"/>
      <w:ind w:left="394"/>
    </w:pPr>
    <w:rPr>
      <w:rFonts w:ascii="Calibri" w:eastAsia="Calibri" w:hAnsi="Calibri" w:cs="Calibri"/>
      <w:lang w:eastAsia="en-US"/>
    </w:rPr>
  </w:style>
  <w:style w:type="character" w:customStyle="1" w:styleId="normaltextrun">
    <w:name w:val="normaltextrun"/>
    <w:basedOn w:val="DefaultParagraphFont"/>
    <w:rsid w:val="00153899"/>
  </w:style>
  <w:style w:type="character" w:customStyle="1" w:styleId="eop">
    <w:name w:val="eop"/>
    <w:basedOn w:val="DefaultParagraphFont"/>
    <w:rsid w:val="00153899"/>
  </w:style>
  <w:style w:type="paragraph" w:customStyle="1" w:styleId="Default">
    <w:name w:val="Default"/>
    <w:rsid w:val="000A383F"/>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ibliography">
    <w:name w:val="Bibliography"/>
    <w:basedOn w:val="Normal"/>
    <w:next w:val="Normal"/>
    <w:uiPriority w:val="37"/>
    <w:semiHidden/>
    <w:unhideWhenUsed/>
    <w:rsid w:val="000C1DDE"/>
  </w:style>
  <w:style w:type="paragraph" w:styleId="BlockText">
    <w:name w:val="Block Text"/>
    <w:basedOn w:val="Normal"/>
    <w:uiPriority w:val="99"/>
    <w:semiHidden/>
    <w:unhideWhenUsed/>
    <w:rsid w:val="000C1DD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2">
    <w:name w:val="Body Text 2"/>
    <w:basedOn w:val="Normal"/>
    <w:link w:val="BodyText2Char"/>
    <w:uiPriority w:val="99"/>
    <w:semiHidden/>
    <w:unhideWhenUsed/>
    <w:rsid w:val="000C1DDE"/>
    <w:pPr>
      <w:spacing w:after="120" w:line="480" w:lineRule="auto"/>
    </w:pPr>
  </w:style>
  <w:style w:type="character" w:customStyle="1" w:styleId="BodyText2Char">
    <w:name w:val="Body Text 2 Char"/>
    <w:basedOn w:val="DefaultParagraphFont"/>
    <w:link w:val="BodyText2"/>
    <w:uiPriority w:val="99"/>
    <w:semiHidden/>
    <w:rsid w:val="000C1DDE"/>
  </w:style>
  <w:style w:type="paragraph" w:styleId="BodyText3">
    <w:name w:val="Body Text 3"/>
    <w:basedOn w:val="Normal"/>
    <w:link w:val="BodyText3Char"/>
    <w:uiPriority w:val="99"/>
    <w:semiHidden/>
    <w:unhideWhenUsed/>
    <w:rsid w:val="000C1DDE"/>
    <w:pPr>
      <w:spacing w:after="120"/>
    </w:pPr>
    <w:rPr>
      <w:sz w:val="16"/>
      <w:szCs w:val="16"/>
    </w:rPr>
  </w:style>
  <w:style w:type="character" w:customStyle="1" w:styleId="BodyText3Char">
    <w:name w:val="Body Text 3 Char"/>
    <w:basedOn w:val="DefaultParagraphFont"/>
    <w:link w:val="BodyText3"/>
    <w:uiPriority w:val="99"/>
    <w:semiHidden/>
    <w:rsid w:val="000C1DDE"/>
    <w:rPr>
      <w:sz w:val="16"/>
      <w:szCs w:val="16"/>
    </w:rPr>
  </w:style>
  <w:style w:type="paragraph" w:styleId="BodyTextFirstIndent">
    <w:name w:val="Body Text First Indent"/>
    <w:basedOn w:val="BodyText"/>
    <w:link w:val="BodyTextFirstIndentChar"/>
    <w:uiPriority w:val="99"/>
    <w:semiHidden/>
    <w:unhideWhenUsed/>
    <w:rsid w:val="000C1DDE"/>
    <w:pPr>
      <w:widowControl/>
      <w:autoSpaceDE/>
      <w:autoSpaceDN/>
      <w:spacing w:after="160" w:line="259" w:lineRule="auto"/>
      <w:ind w:firstLine="360"/>
    </w:pPr>
    <w:rPr>
      <w:rFonts w:asciiTheme="minorHAnsi" w:eastAsiaTheme="minorEastAsia" w:hAnsiTheme="minorHAnsi" w:cstheme="minorBidi"/>
      <w:sz w:val="22"/>
      <w:szCs w:val="22"/>
      <w:lang w:eastAsia="zh-CN"/>
    </w:rPr>
  </w:style>
  <w:style w:type="character" w:customStyle="1" w:styleId="BodyTextFirstIndentChar">
    <w:name w:val="Body Text First Indent Char"/>
    <w:basedOn w:val="BodyTextChar"/>
    <w:link w:val="BodyTextFirstIndent"/>
    <w:uiPriority w:val="99"/>
    <w:semiHidden/>
    <w:rsid w:val="000C1DDE"/>
    <w:rPr>
      <w:rFonts w:ascii="Tahoma" w:eastAsia="Tahoma" w:hAnsi="Tahoma" w:cs="Tahoma"/>
      <w:sz w:val="18"/>
      <w:szCs w:val="18"/>
      <w:lang w:eastAsia="en-US"/>
    </w:rPr>
  </w:style>
  <w:style w:type="paragraph" w:styleId="BodyTextIndent">
    <w:name w:val="Body Text Indent"/>
    <w:basedOn w:val="Normal"/>
    <w:link w:val="BodyTextIndentChar"/>
    <w:uiPriority w:val="99"/>
    <w:semiHidden/>
    <w:unhideWhenUsed/>
    <w:rsid w:val="000C1DDE"/>
    <w:pPr>
      <w:spacing w:after="120"/>
      <w:ind w:left="283"/>
    </w:pPr>
  </w:style>
  <w:style w:type="character" w:customStyle="1" w:styleId="BodyTextIndentChar">
    <w:name w:val="Body Text Indent Char"/>
    <w:basedOn w:val="DefaultParagraphFont"/>
    <w:link w:val="BodyTextIndent"/>
    <w:uiPriority w:val="99"/>
    <w:semiHidden/>
    <w:rsid w:val="000C1DDE"/>
  </w:style>
  <w:style w:type="paragraph" w:styleId="BodyTextFirstIndent2">
    <w:name w:val="Body Text First Indent 2"/>
    <w:basedOn w:val="BodyTextIndent"/>
    <w:link w:val="BodyTextFirstIndent2Char"/>
    <w:uiPriority w:val="99"/>
    <w:semiHidden/>
    <w:unhideWhenUsed/>
    <w:rsid w:val="000C1DD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0C1DDE"/>
  </w:style>
  <w:style w:type="paragraph" w:styleId="BodyTextIndent2">
    <w:name w:val="Body Text Indent 2"/>
    <w:basedOn w:val="Normal"/>
    <w:link w:val="BodyTextIndent2Char"/>
    <w:uiPriority w:val="99"/>
    <w:semiHidden/>
    <w:unhideWhenUsed/>
    <w:rsid w:val="000C1DDE"/>
    <w:pPr>
      <w:spacing w:after="120" w:line="480" w:lineRule="auto"/>
      <w:ind w:left="283"/>
    </w:pPr>
  </w:style>
  <w:style w:type="character" w:customStyle="1" w:styleId="BodyTextIndent2Char">
    <w:name w:val="Body Text Indent 2 Char"/>
    <w:basedOn w:val="DefaultParagraphFont"/>
    <w:link w:val="BodyTextIndent2"/>
    <w:uiPriority w:val="99"/>
    <w:semiHidden/>
    <w:rsid w:val="000C1DDE"/>
  </w:style>
  <w:style w:type="paragraph" w:styleId="BodyTextIndent3">
    <w:name w:val="Body Text Indent 3"/>
    <w:basedOn w:val="Normal"/>
    <w:link w:val="BodyTextIndent3Char"/>
    <w:uiPriority w:val="99"/>
    <w:semiHidden/>
    <w:unhideWhenUsed/>
    <w:rsid w:val="000C1DD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C1DDE"/>
    <w:rPr>
      <w:sz w:val="16"/>
      <w:szCs w:val="16"/>
    </w:rPr>
  </w:style>
  <w:style w:type="paragraph" w:styleId="Caption">
    <w:name w:val="caption"/>
    <w:basedOn w:val="Normal"/>
    <w:next w:val="Normal"/>
    <w:uiPriority w:val="35"/>
    <w:semiHidden/>
    <w:unhideWhenUsed/>
    <w:qFormat/>
    <w:rsid w:val="000C1DDE"/>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0C1DDE"/>
    <w:pPr>
      <w:spacing w:after="0" w:line="240" w:lineRule="auto"/>
      <w:ind w:left="4252"/>
    </w:pPr>
  </w:style>
  <w:style w:type="character" w:customStyle="1" w:styleId="ClosingChar">
    <w:name w:val="Closing Char"/>
    <w:basedOn w:val="DefaultParagraphFont"/>
    <w:link w:val="Closing"/>
    <w:uiPriority w:val="99"/>
    <w:semiHidden/>
    <w:rsid w:val="000C1DDE"/>
  </w:style>
  <w:style w:type="paragraph" w:styleId="Date">
    <w:name w:val="Date"/>
    <w:basedOn w:val="Normal"/>
    <w:next w:val="Normal"/>
    <w:link w:val="DateChar"/>
    <w:uiPriority w:val="99"/>
    <w:semiHidden/>
    <w:unhideWhenUsed/>
    <w:rsid w:val="000C1DDE"/>
  </w:style>
  <w:style w:type="character" w:customStyle="1" w:styleId="DateChar">
    <w:name w:val="Date Char"/>
    <w:basedOn w:val="DefaultParagraphFont"/>
    <w:link w:val="Date"/>
    <w:uiPriority w:val="99"/>
    <w:semiHidden/>
    <w:rsid w:val="000C1DDE"/>
  </w:style>
  <w:style w:type="paragraph" w:styleId="DocumentMap">
    <w:name w:val="Document Map"/>
    <w:basedOn w:val="Normal"/>
    <w:link w:val="DocumentMapChar"/>
    <w:uiPriority w:val="99"/>
    <w:semiHidden/>
    <w:unhideWhenUsed/>
    <w:rsid w:val="000C1DD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C1DDE"/>
    <w:rPr>
      <w:rFonts w:ascii="Segoe UI" w:hAnsi="Segoe UI" w:cs="Segoe UI"/>
      <w:sz w:val="16"/>
      <w:szCs w:val="16"/>
    </w:rPr>
  </w:style>
  <w:style w:type="paragraph" w:styleId="E-mailSignature">
    <w:name w:val="E-mail Signature"/>
    <w:basedOn w:val="Normal"/>
    <w:link w:val="E-mailSignatureChar"/>
    <w:uiPriority w:val="99"/>
    <w:semiHidden/>
    <w:unhideWhenUsed/>
    <w:rsid w:val="000C1DDE"/>
    <w:pPr>
      <w:spacing w:after="0" w:line="240" w:lineRule="auto"/>
    </w:pPr>
  </w:style>
  <w:style w:type="character" w:customStyle="1" w:styleId="E-mailSignatureChar">
    <w:name w:val="E-mail Signature Char"/>
    <w:basedOn w:val="DefaultParagraphFont"/>
    <w:link w:val="E-mailSignature"/>
    <w:uiPriority w:val="99"/>
    <w:semiHidden/>
    <w:rsid w:val="000C1DDE"/>
  </w:style>
  <w:style w:type="paragraph" w:styleId="EndnoteText">
    <w:name w:val="endnote text"/>
    <w:basedOn w:val="Normal"/>
    <w:link w:val="EndnoteTextChar"/>
    <w:uiPriority w:val="99"/>
    <w:semiHidden/>
    <w:unhideWhenUsed/>
    <w:rsid w:val="000C1D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1DDE"/>
    <w:rPr>
      <w:sz w:val="20"/>
      <w:szCs w:val="20"/>
    </w:rPr>
  </w:style>
  <w:style w:type="paragraph" w:styleId="EnvelopeAddress">
    <w:name w:val="envelope address"/>
    <w:basedOn w:val="Normal"/>
    <w:uiPriority w:val="99"/>
    <w:semiHidden/>
    <w:unhideWhenUsed/>
    <w:rsid w:val="000C1DD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C1DDE"/>
    <w:pPr>
      <w:spacing w:after="0" w:line="240" w:lineRule="auto"/>
    </w:pPr>
    <w:rPr>
      <w:rFonts w:asciiTheme="majorHAnsi" w:eastAsiaTheme="majorEastAsia" w:hAnsiTheme="majorHAnsi" w:cstheme="majorBidi"/>
      <w:sz w:val="20"/>
      <w:szCs w:val="20"/>
    </w:rPr>
  </w:style>
  <w:style w:type="character" w:customStyle="1" w:styleId="Heading4Char">
    <w:name w:val="Heading 4 Char"/>
    <w:basedOn w:val="DefaultParagraphFont"/>
    <w:link w:val="Heading4"/>
    <w:uiPriority w:val="9"/>
    <w:semiHidden/>
    <w:rsid w:val="000C1DD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C1DD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C1DD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C1DD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C1DD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C1DD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0C1DDE"/>
    <w:pPr>
      <w:spacing w:after="0" w:line="240" w:lineRule="auto"/>
    </w:pPr>
    <w:rPr>
      <w:i/>
      <w:iCs/>
    </w:rPr>
  </w:style>
  <w:style w:type="character" w:customStyle="1" w:styleId="HTMLAddressChar">
    <w:name w:val="HTML Address Char"/>
    <w:basedOn w:val="DefaultParagraphFont"/>
    <w:link w:val="HTMLAddress"/>
    <w:uiPriority w:val="99"/>
    <w:semiHidden/>
    <w:rsid w:val="000C1DDE"/>
    <w:rPr>
      <w:i/>
      <w:iCs/>
    </w:rPr>
  </w:style>
  <w:style w:type="paragraph" w:styleId="HTMLPreformatted">
    <w:name w:val="HTML Preformatted"/>
    <w:basedOn w:val="Normal"/>
    <w:link w:val="HTMLPreformattedChar"/>
    <w:uiPriority w:val="99"/>
    <w:semiHidden/>
    <w:unhideWhenUsed/>
    <w:rsid w:val="000C1DD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C1DDE"/>
    <w:rPr>
      <w:rFonts w:ascii="Consolas" w:hAnsi="Consolas"/>
      <w:sz w:val="20"/>
      <w:szCs w:val="20"/>
    </w:rPr>
  </w:style>
  <w:style w:type="paragraph" w:styleId="Index1">
    <w:name w:val="index 1"/>
    <w:basedOn w:val="Normal"/>
    <w:next w:val="Normal"/>
    <w:autoRedefine/>
    <w:uiPriority w:val="99"/>
    <w:semiHidden/>
    <w:unhideWhenUsed/>
    <w:rsid w:val="000C1DDE"/>
    <w:pPr>
      <w:spacing w:after="0" w:line="240" w:lineRule="auto"/>
      <w:ind w:left="220" w:hanging="220"/>
    </w:pPr>
  </w:style>
  <w:style w:type="paragraph" w:styleId="Index2">
    <w:name w:val="index 2"/>
    <w:basedOn w:val="Normal"/>
    <w:next w:val="Normal"/>
    <w:autoRedefine/>
    <w:uiPriority w:val="99"/>
    <w:semiHidden/>
    <w:unhideWhenUsed/>
    <w:rsid w:val="000C1DDE"/>
    <w:pPr>
      <w:spacing w:after="0" w:line="240" w:lineRule="auto"/>
      <w:ind w:left="440" w:hanging="220"/>
    </w:pPr>
  </w:style>
  <w:style w:type="paragraph" w:styleId="Index3">
    <w:name w:val="index 3"/>
    <w:basedOn w:val="Normal"/>
    <w:next w:val="Normal"/>
    <w:autoRedefine/>
    <w:uiPriority w:val="99"/>
    <w:semiHidden/>
    <w:unhideWhenUsed/>
    <w:rsid w:val="000C1DDE"/>
    <w:pPr>
      <w:spacing w:after="0" w:line="240" w:lineRule="auto"/>
      <w:ind w:left="660" w:hanging="220"/>
    </w:pPr>
  </w:style>
  <w:style w:type="paragraph" w:styleId="Index4">
    <w:name w:val="index 4"/>
    <w:basedOn w:val="Normal"/>
    <w:next w:val="Normal"/>
    <w:autoRedefine/>
    <w:uiPriority w:val="99"/>
    <w:semiHidden/>
    <w:unhideWhenUsed/>
    <w:rsid w:val="000C1DDE"/>
    <w:pPr>
      <w:spacing w:after="0" w:line="240" w:lineRule="auto"/>
      <w:ind w:left="880" w:hanging="220"/>
    </w:pPr>
  </w:style>
  <w:style w:type="paragraph" w:styleId="Index5">
    <w:name w:val="index 5"/>
    <w:basedOn w:val="Normal"/>
    <w:next w:val="Normal"/>
    <w:autoRedefine/>
    <w:uiPriority w:val="99"/>
    <w:semiHidden/>
    <w:unhideWhenUsed/>
    <w:rsid w:val="000C1DDE"/>
    <w:pPr>
      <w:spacing w:after="0" w:line="240" w:lineRule="auto"/>
      <w:ind w:left="1100" w:hanging="220"/>
    </w:pPr>
  </w:style>
  <w:style w:type="paragraph" w:styleId="Index6">
    <w:name w:val="index 6"/>
    <w:basedOn w:val="Normal"/>
    <w:next w:val="Normal"/>
    <w:autoRedefine/>
    <w:uiPriority w:val="99"/>
    <w:semiHidden/>
    <w:unhideWhenUsed/>
    <w:rsid w:val="000C1DDE"/>
    <w:pPr>
      <w:spacing w:after="0" w:line="240" w:lineRule="auto"/>
      <w:ind w:left="1320" w:hanging="220"/>
    </w:pPr>
  </w:style>
  <w:style w:type="paragraph" w:styleId="Index7">
    <w:name w:val="index 7"/>
    <w:basedOn w:val="Normal"/>
    <w:next w:val="Normal"/>
    <w:autoRedefine/>
    <w:uiPriority w:val="99"/>
    <w:semiHidden/>
    <w:unhideWhenUsed/>
    <w:rsid w:val="000C1DDE"/>
    <w:pPr>
      <w:spacing w:after="0" w:line="240" w:lineRule="auto"/>
      <w:ind w:left="1540" w:hanging="220"/>
    </w:pPr>
  </w:style>
  <w:style w:type="paragraph" w:styleId="Index8">
    <w:name w:val="index 8"/>
    <w:basedOn w:val="Normal"/>
    <w:next w:val="Normal"/>
    <w:autoRedefine/>
    <w:uiPriority w:val="99"/>
    <w:semiHidden/>
    <w:unhideWhenUsed/>
    <w:rsid w:val="000C1DDE"/>
    <w:pPr>
      <w:spacing w:after="0" w:line="240" w:lineRule="auto"/>
      <w:ind w:left="1760" w:hanging="220"/>
    </w:pPr>
  </w:style>
  <w:style w:type="paragraph" w:styleId="Index9">
    <w:name w:val="index 9"/>
    <w:basedOn w:val="Normal"/>
    <w:next w:val="Normal"/>
    <w:autoRedefine/>
    <w:uiPriority w:val="99"/>
    <w:semiHidden/>
    <w:unhideWhenUsed/>
    <w:rsid w:val="000C1DDE"/>
    <w:pPr>
      <w:spacing w:after="0" w:line="240" w:lineRule="auto"/>
      <w:ind w:left="1980" w:hanging="220"/>
    </w:pPr>
  </w:style>
  <w:style w:type="paragraph" w:styleId="IndexHeading">
    <w:name w:val="index heading"/>
    <w:basedOn w:val="Normal"/>
    <w:next w:val="Index1"/>
    <w:uiPriority w:val="99"/>
    <w:semiHidden/>
    <w:unhideWhenUsed/>
    <w:rsid w:val="000C1DD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C1DD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C1DDE"/>
    <w:rPr>
      <w:i/>
      <w:iCs/>
      <w:color w:val="4472C4" w:themeColor="accent1"/>
    </w:rPr>
  </w:style>
  <w:style w:type="paragraph" w:styleId="List">
    <w:name w:val="List"/>
    <w:basedOn w:val="Normal"/>
    <w:uiPriority w:val="99"/>
    <w:semiHidden/>
    <w:unhideWhenUsed/>
    <w:rsid w:val="000C1DDE"/>
    <w:pPr>
      <w:ind w:left="283" w:hanging="283"/>
      <w:contextualSpacing/>
    </w:pPr>
  </w:style>
  <w:style w:type="paragraph" w:styleId="List2">
    <w:name w:val="List 2"/>
    <w:basedOn w:val="Normal"/>
    <w:uiPriority w:val="99"/>
    <w:semiHidden/>
    <w:unhideWhenUsed/>
    <w:rsid w:val="000C1DDE"/>
    <w:pPr>
      <w:ind w:left="566" w:hanging="283"/>
      <w:contextualSpacing/>
    </w:pPr>
  </w:style>
  <w:style w:type="paragraph" w:styleId="List3">
    <w:name w:val="List 3"/>
    <w:basedOn w:val="Normal"/>
    <w:uiPriority w:val="99"/>
    <w:semiHidden/>
    <w:unhideWhenUsed/>
    <w:rsid w:val="000C1DDE"/>
    <w:pPr>
      <w:ind w:left="849" w:hanging="283"/>
      <w:contextualSpacing/>
    </w:pPr>
  </w:style>
  <w:style w:type="paragraph" w:styleId="List4">
    <w:name w:val="List 4"/>
    <w:basedOn w:val="Normal"/>
    <w:uiPriority w:val="99"/>
    <w:semiHidden/>
    <w:unhideWhenUsed/>
    <w:rsid w:val="000C1DDE"/>
    <w:pPr>
      <w:ind w:left="1132" w:hanging="283"/>
      <w:contextualSpacing/>
    </w:pPr>
  </w:style>
  <w:style w:type="paragraph" w:styleId="List5">
    <w:name w:val="List 5"/>
    <w:basedOn w:val="Normal"/>
    <w:uiPriority w:val="99"/>
    <w:semiHidden/>
    <w:unhideWhenUsed/>
    <w:rsid w:val="000C1DDE"/>
    <w:pPr>
      <w:ind w:left="1415" w:hanging="283"/>
      <w:contextualSpacing/>
    </w:pPr>
  </w:style>
  <w:style w:type="paragraph" w:styleId="ListBullet">
    <w:name w:val="List Bullet"/>
    <w:basedOn w:val="Normal"/>
    <w:uiPriority w:val="99"/>
    <w:semiHidden/>
    <w:unhideWhenUsed/>
    <w:rsid w:val="000C1DDE"/>
    <w:pPr>
      <w:numPr>
        <w:numId w:val="43"/>
      </w:numPr>
      <w:contextualSpacing/>
    </w:pPr>
  </w:style>
  <w:style w:type="paragraph" w:styleId="ListBullet2">
    <w:name w:val="List Bullet 2"/>
    <w:basedOn w:val="Normal"/>
    <w:uiPriority w:val="99"/>
    <w:semiHidden/>
    <w:unhideWhenUsed/>
    <w:rsid w:val="000C1DDE"/>
    <w:pPr>
      <w:numPr>
        <w:numId w:val="44"/>
      </w:numPr>
      <w:contextualSpacing/>
    </w:pPr>
  </w:style>
  <w:style w:type="paragraph" w:styleId="ListBullet3">
    <w:name w:val="List Bullet 3"/>
    <w:basedOn w:val="Normal"/>
    <w:uiPriority w:val="99"/>
    <w:semiHidden/>
    <w:unhideWhenUsed/>
    <w:rsid w:val="000C1DDE"/>
    <w:pPr>
      <w:numPr>
        <w:numId w:val="45"/>
      </w:numPr>
      <w:contextualSpacing/>
    </w:pPr>
  </w:style>
  <w:style w:type="paragraph" w:styleId="ListBullet4">
    <w:name w:val="List Bullet 4"/>
    <w:basedOn w:val="Normal"/>
    <w:uiPriority w:val="99"/>
    <w:semiHidden/>
    <w:unhideWhenUsed/>
    <w:rsid w:val="000C1DDE"/>
    <w:pPr>
      <w:numPr>
        <w:numId w:val="46"/>
      </w:numPr>
      <w:contextualSpacing/>
    </w:pPr>
  </w:style>
  <w:style w:type="paragraph" w:styleId="ListBullet5">
    <w:name w:val="List Bullet 5"/>
    <w:basedOn w:val="Normal"/>
    <w:uiPriority w:val="99"/>
    <w:semiHidden/>
    <w:unhideWhenUsed/>
    <w:rsid w:val="000C1DDE"/>
    <w:pPr>
      <w:numPr>
        <w:numId w:val="47"/>
      </w:numPr>
      <w:contextualSpacing/>
    </w:pPr>
  </w:style>
  <w:style w:type="paragraph" w:styleId="ListContinue">
    <w:name w:val="List Continue"/>
    <w:basedOn w:val="Normal"/>
    <w:uiPriority w:val="99"/>
    <w:semiHidden/>
    <w:unhideWhenUsed/>
    <w:rsid w:val="000C1DDE"/>
    <w:pPr>
      <w:spacing w:after="120"/>
      <w:ind w:left="283"/>
      <w:contextualSpacing/>
    </w:pPr>
  </w:style>
  <w:style w:type="paragraph" w:styleId="ListContinue2">
    <w:name w:val="List Continue 2"/>
    <w:basedOn w:val="Normal"/>
    <w:uiPriority w:val="99"/>
    <w:semiHidden/>
    <w:unhideWhenUsed/>
    <w:rsid w:val="000C1DDE"/>
    <w:pPr>
      <w:spacing w:after="120"/>
      <w:ind w:left="566"/>
      <w:contextualSpacing/>
    </w:pPr>
  </w:style>
  <w:style w:type="paragraph" w:styleId="ListContinue3">
    <w:name w:val="List Continue 3"/>
    <w:basedOn w:val="Normal"/>
    <w:uiPriority w:val="99"/>
    <w:semiHidden/>
    <w:unhideWhenUsed/>
    <w:rsid w:val="000C1DDE"/>
    <w:pPr>
      <w:spacing w:after="120"/>
      <w:ind w:left="849"/>
      <w:contextualSpacing/>
    </w:pPr>
  </w:style>
  <w:style w:type="paragraph" w:styleId="ListContinue4">
    <w:name w:val="List Continue 4"/>
    <w:basedOn w:val="Normal"/>
    <w:uiPriority w:val="99"/>
    <w:semiHidden/>
    <w:unhideWhenUsed/>
    <w:rsid w:val="000C1DDE"/>
    <w:pPr>
      <w:spacing w:after="120"/>
      <w:ind w:left="1132"/>
      <w:contextualSpacing/>
    </w:pPr>
  </w:style>
  <w:style w:type="paragraph" w:styleId="ListContinue5">
    <w:name w:val="List Continue 5"/>
    <w:basedOn w:val="Normal"/>
    <w:uiPriority w:val="99"/>
    <w:semiHidden/>
    <w:unhideWhenUsed/>
    <w:rsid w:val="000C1DDE"/>
    <w:pPr>
      <w:spacing w:after="120"/>
      <w:ind w:left="1415"/>
      <w:contextualSpacing/>
    </w:pPr>
  </w:style>
  <w:style w:type="paragraph" w:styleId="ListNumber">
    <w:name w:val="List Number"/>
    <w:basedOn w:val="Normal"/>
    <w:uiPriority w:val="99"/>
    <w:semiHidden/>
    <w:unhideWhenUsed/>
    <w:rsid w:val="000C1DDE"/>
    <w:pPr>
      <w:numPr>
        <w:numId w:val="48"/>
      </w:numPr>
      <w:contextualSpacing/>
    </w:pPr>
  </w:style>
  <w:style w:type="paragraph" w:styleId="ListNumber2">
    <w:name w:val="List Number 2"/>
    <w:basedOn w:val="Normal"/>
    <w:uiPriority w:val="99"/>
    <w:semiHidden/>
    <w:unhideWhenUsed/>
    <w:rsid w:val="000C1DDE"/>
    <w:pPr>
      <w:numPr>
        <w:numId w:val="49"/>
      </w:numPr>
      <w:contextualSpacing/>
    </w:pPr>
  </w:style>
  <w:style w:type="paragraph" w:styleId="ListNumber3">
    <w:name w:val="List Number 3"/>
    <w:basedOn w:val="Normal"/>
    <w:uiPriority w:val="99"/>
    <w:semiHidden/>
    <w:unhideWhenUsed/>
    <w:rsid w:val="000C1DDE"/>
    <w:pPr>
      <w:numPr>
        <w:numId w:val="50"/>
      </w:numPr>
      <w:contextualSpacing/>
    </w:pPr>
  </w:style>
  <w:style w:type="paragraph" w:styleId="ListNumber4">
    <w:name w:val="List Number 4"/>
    <w:basedOn w:val="Normal"/>
    <w:uiPriority w:val="99"/>
    <w:semiHidden/>
    <w:unhideWhenUsed/>
    <w:rsid w:val="000C1DDE"/>
    <w:pPr>
      <w:numPr>
        <w:numId w:val="51"/>
      </w:numPr>
      <w:contextualSpacing/>
    </w:pPr>
  </w:style>
  <w:style w:type="paragraph" w:styleId="ListNumber5">
    <w:name w:val="List Number 5"/>
    <w:basedOn w:val="Normal"/>
    <w:uiPriority w:val="99"/>
    <w:semiHidden/>
    <w:unhideWhenUsed/>
    <w:rsid w:val="000C1DDE"/>
    <w:pPr>
      <w:numPr>
        <w:numId w:val="52"/>
      </w:numPr>
      <w:contextualSpacing/>
    </w:pPr>
  </w:style>
  <w:style w:type="paragraph" w:styleId="MacroText">
    <w:name w:val="macro"/>
    <w:link w:val="MacroTextChar"/>
    <w:uiPriority w:val="99"/>
    <w:semiHidden/>
    <w:unhideWhenUsed/>
    <w:rsid w:val="000C1DD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0C1DDE"/>
    <w:rPr>
      <w:rFonts w:ascii="Consolas" w:hAnsi="Consolas"/>
      <w:sz w:val="20"/>
      <w:szCs w:val="20"/>
    </w:rPr>
  </w:style>
  <w:style w:type="paragraph" w:styleId="MessageHeader">
    <w:name w:val="Message Header"/>
    <w:basedOn w:val="Normal"/>
    <w:link w:val="MessageHeaderChar"/>
    <w:uiPriority w:val="99"/>
    <w:semiHidden/>
    <w:unhideWhenUsed/>
    <w:rsid w:val="000C1DD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C1DDE"/>
    <w:rPr>
      <w:rFonts w:asciiTheme="majorHAnsi" w:eastAsiaTheme="majorEastAsia" w:hAnsiTheme="majorHAnsi" w:cstheme="majorBidi"/>
      <w:sz w:val="24"/>
      <w:szCs w:val="24"/>
      <w:shd w:val="pct20" w:color="auto" w:fill="auto"/>
    </w:rPr>
  </w:style>
  <w:style w:type="paragraph" w:styleId="NoSpacing">
    <w:name w:val="No Spacing"/>
    <w:uiPriority w:val="1"/>
    <w:qFormat/>
    <w:rsid w:val="000C1DDE"/>
    <w:pPr>
      <w:spacing w:after="0" w:line="240" w:lineRule="auto"/>
    </w:pPr>
  </w:style>
  <w:style w:type="paragraph" w:styleId="NormalWeb">
    <w:name w:val="Normal (Web)"/>
    <w:basedOn w:val="Normal"/>
    <w:uiPriority w:val="99"/>
    <w:semiHidden/>
    <w:unhideWhenUsed/>
    <w:rsid w:val="000C1DDE"/>
    <w:rPr>
      <w:rFonts w:ascii="Times New Roman" w:hAnsi="Times New Roman" w:cs="Times New Roman"/>
      <w:sz w:val="24"/>
      <w:szCs w:val="24"/>
    </w:rPr>
  </w:style>
  <w:style w:type="paragraph" w:styleId="NormalIndent">
    <w:name w:val="Normal Indent"/>
    <w:basedOn w:val="Normal"/>
    <w:uiPriority w:val="99"/>
    <w:semiHidden/>
    <w:unhideWhenUsed/>
    <w:rsid w:val="000C1DDE"/>
    <w:pPr>
      <w:ind w:left="720"/>
    </w:pPr>
  </w:style>
  <w:style w:type="paragraph" w:styleId="NoteHeading">
    <w:name w:val="Note Heading"/>
    <w:basedOn w:val="Normal"/>
    <w:next w:val="Normal"/>
    <w:link w:val="NoteHeadingChar"/>
    <w:uiPriority w:val="99"/>
    <w:semiHidden/>
    <w:unhideWhenUsed/>
    <w:rsid w:val="000C1DDE"/>
    <w:pPr>
      <w:spacing w:after="0" w:line="240" w:lineRule="auto"/>
    </w:pPr>
  </w:style>
  <w:style w:type="character" w:customStyle="1" w:styleId="NoteHeadingChar">
    <w:name w:val="Note Heading Char"/>
    <w:basedOn w:val="DefaultParagraphFont"/>
    <w:link w:val="NoteHeading"/>
    <w:uiPriority w:val="99"/>
    <w:semiHidden/>
    <w:rsid w:val="000C1DDE"/>
  </w:style>
  <w:style w:type="paragraph" w:styleId="PlainText">
    <w:name w:val="Plain Text"/>
    <w:basedOn w:val="Normal"/>
    <w:link w:val="PlainTextChar"/>
    <w:uiPriority w:val="99"/>
    <w:semiHidden/>
    <w:unhideWhenUsed/>
    <w:rsid w:val="000C1DD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C1DDE"/>
    <w:rPr>
      <w:rFonts w:ascii="Consolas" w:hAnsi="Consolas"/>
      <w:sz w:val="21"/>
      <w:szCs w:val="21"/>
    </w:rPr>
  </w:style>
  <w:style w:type="paragraph" w:styleId="Quote">
    <w:name w:val="Quote"/>
    <w:basedOn w:val="Normal"/>
    <w:next w:val="Normal"/>
    <w:link w:val="QuoteChar"/>
    <w:uiPriority w:val="29"/>
    <w:qFormat/>
    <w:rsid w:val="000C1DD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C1DDE"/>
    <w:rPr>
      <w:i/>
      <w:iCs/>
      <w:color w:val="404040" w:themeColor="text1" w:themeTint="BF"/>
    </w:rPr>
  </w:style>
  <w:style w:type="paragraph" w:styleId="Salutation">
    <w:name w:val="Salutation"/>
    <w:basedOn w:val="Normal"/>
    <w:next w:val="Normal"/>
    <w:link w:val="SalutationChar"/>
    <w:uiPriority w:val="99"/>
    <w:semiHidden/>
    <w:unhideWhenUsed/>
    <w:rsid w:val="000C1DDE"/>
  </w:style>
  <w:style w:type="character" w:customStyle="1" w:styleId="SalutationChar">
    <w:name w:val="Salutation Char"/>
    <w:basedOn w:val="DefaultParagraphFont"/>
    <w:link w:val="Salutation"/>
    <w:uiPriority w:val="99"/>
    <w:semiHidden/>
    <w:rsid w:val="000C1DDE"/>
  </w:style>
  <w:style w:type="paragraph" w:styleId="Signature">
    <w:name w:val="Signature"/>
    <w:basedOn w:val="Normal"/>
    <w:link w:val="SignatureChar"/>
    <w:uiPriority w:val="99"/>
    <w:semiHidden/>
    <w:unhideWhenUsed/>
    <w:rsid w:val="000C1DDE"/>
    <w:pPr>
      <w:spacing w:after="0" w:line="240" w:lineRule="auto"/>
      <w:ind w:left="4252"/>
    </w:pPr>
  </w:style>
  <w:style w:type="character" w:customStyle="1" w:styleId="SignatureChar">
    <w:name w:val="Signature Char"/>
    <w:basedOn w:val="DefaultParagraphFont"/>
    <w:link w:val="Signature"/>
    <w:uiPriority w:val="99"/>
    <w:semiHidden/>
    <w:rsid w:val="000C1DDE"/>
  </w:style>
  <w:style w:type="paragraph" w:styleId="Subtitle">
    <w:name w:val="Subtitle"/>
    <w:basedOn w:val="Normal"/>
    <w:next w:val="Normal"/>
    <w:link w:val="SubtitleChar"/>
    <w:uiPriority w:val="11"/>
    <w:qFormat/>
    <w:rsid w:val="000C1DDE"/>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0C1DDE"/>
    <w:rPr>
      <w:color w:val="5A5A5A" w:themeColor="text1" w:themeTint="A5"/>
      <w:spacing w:val="15"/>
    </w:rPr>
  </w:style>
  <w:style w:type="paragraph" w:styleId="TableofAuthorities">
    <w:name w:val="table of authorities"/>
    <w:basedOn w:val="Normal"/>
    <w:next w:val="Normal"/>
    <w:uiPriority w:val="99"/>
    <w:semiHidden/>
    <w:unhideWhenUsed/>
    <w:rsid w:val="000C1DDE"/>
    <w:pPr>
      <w:spacing w:after="0"/>
      <w:ind w:left="220" w:hanging="220"/>
    </w:pPr>
  </w:style>
  <w:style w:type="paragraph" w:styleId="TableofFigures">
    <w:name w:val="table of figures"/>
    <w:basedOn w:val="Normal"/>
    <w:next w:val="Normal"/>
    <w:uiPriority w:val="99"/>
    <w:semiHidden/>
    <w:unhideWhenUsed/>
    <w:rsid w:val="000C1DDE"/>
    <w:pPr>
      <w:spacing w:after="0"/>
    </w:pPr>
  </w:style>
  <w:style w:type="paragraph" w:styleId="Title">
    <w:name w:val="Title"/>
    <w:basedOn w:val="Normal"/>
    <w:next w:val="Normal"/>
    <w:link w:val="TitleChar"/>
    <w:uiPriority w:val="10"/>
    <w:qFormat/>
    <w:rsid w:val="000C1D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1DD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0C1D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C1DDE"/>
    <w:pPr>
      <w:spacing w:after="100"/>
    </w:pPr>
  </w:style>
  <w:style w:type="paragraph" w:styleId="TOC2">
    <w:name w:val="toc 2"/>
    <w:basedOn w:val="Normal"/>
    <w:next w:val="Normal"/>
    <w:autoRedefine/>
    <w:uiPriority w:val="39"/>
    <w:semiHidden/>
    <w:unhideWhenUsed/>
    <w:rsid w:val="000C1DDE"/>
    <w:pPr>
      <w:spacing w:after="100"/>
      <w:ind w:left="220"/>
    </w:pPr>
  </w:style>
  <w:style w:type="paragraph" w:styleId="TOC3">
    <w:name w:val="toc 3"/>
    <w:basedOn w:val="Normal"/>
    <w:next w:val="Normal"/>
    <w:autoRedefine/>
    <w:uiPriority w:val="39"/>
    <w:semiHidden/>
    <w:unhideWhenUsed/>
    <w:rsid w:val="000C1DDE"/>
    <w:pPr>
      <w:spacing w:after="100"/>
      <w:ind w:left="440"/>
    </w:pPr>
  </w:style>
  <w:style w:type="paragraph" w:styleId="TOC4">
    <w:name w:val="toc 4"/>
    <w:basedOn w:val="Normal"/>
    <w:next w:val="Normal"/>
    <w:autoRedefine/>
    <w:uiPriority w:val="39"/>
    <w:semiHidden/>
    <w:unhideWhenUsed/>
    <w:rsid w:val="000C1DDE"/>
    <w:pPr>
      <w:spacing w:after="100"/>
      <w:ind w:left="660"/>
    </w:pPr>
  </w:style>
  <w:style w:type="paragraph" w:styleId="TOC5">
    <w:name w:val="toc 5"/>
    <w:basedOn w:val="Normal"/>
    <w:next w:val="Normal"/>
    <w:autoRedefine/>
    <w:uiPriority w:val="39"/>
    <w:semiHidden/>
    <w:unhideWhenUsed/>
    <w:rsid w:val="000C1DDE"/>
    <w:pPr>
      <w:spacing w:after="100"/>
      <w:ind w:left="880"/>
    </w:pPr>
  </w:style>
  <w:style w:type="paragraph" w:styleId="TOC6">
    <w:name w:val="toc 6"/>
    <w:basedOn w:val="Normal"/>
    <w:next w:val="Normal"/>
    <w:autoRedefine/>
    <w:uiPriority w:val="39"/>
    <w:semiHidden/>
    <w:unhideWhenUsed/>
    <w:rsid w:val="000C1DDE"/>
    <w:pPr>
      <w:spacing w:after="100"/>
      <w:ind w:left="1100"/>
    </w:pPr>
  </w:style>
  <w:style w:type="paragraph" w:styleId="TOC7">
    <w:name w:val="toc 7"/>
    <w:basedOn w:val="Normal"/>
    <w:next w:val="Normal"/>
    <w:autoRedefine/>
    <w:uiPriority w:val="39"/>
    <w:semiHidden/>
    <w:unhideWhenUsed/>
    <w:rsid w:val="000C1DDE"/>
    <w:pPr>
      <w:spacing w:after="100"/>
      <w:ind w:left="1320"/>
    </w:pPr>
  </w:style>
  <w:style w:type="paragraph" w:styleId="TOC8">
    <w:name w:val="toc 8"/>
    <w:basedOn w:val="Normal"/>
    <w:next w:val="Normal"/>
    <w:autoRedefine/>
    <w:uiPriority w:val="39"/>
    <w:semiHidden/>
    <w:unhideWhenUsed/>
    <w:rsid w:val="000C1DDE"/>
    <w:pPr>
      <w:spacing w:after="100"/>
      <w:ind w:left="1540"/>
    </w:pPr>
  </w:style>
  <w:style w:type="paragraph" w:styleId="TOC9">
    <w:name w:val="toc 9"/>
    <w:basedOn w:val="Normal"/>
    <w:next w:val="Normal"/>
    <w:autoRedefine/>
    <w:uiPriority w:val="39"/>
    <w:semiHidden/>
    <w:unhideWhenUsed/>
    <w:rsid w:val="000C1DDE"/>
    <w:pPr>
      <w:spacing w:after="100"/>
      <w:ind w:left="1760"/>
    </w:pPr>
  </w:style>
  <w:style w:type="paragraph" w:styleId="TOCHeading">
    <w:name w:val="TOC Heading"/>
    <w:basedOn w:val="Heading1"/>
    <w:next w:val="Normal"/>
    <w:uiPriority w:val="39"/>
    <w:semiHidden/>
    <w:unhideWhenUsed/>
    <w:qFormat/>
    <w:rsid w:val="000C1DDE"/>
    <w:pPr>
      <w:outlineLvl w:val="9"/>
    </w:pPr>
    <w:rPr>
      <w:lang w:val="en-US"/>
    </w:rPr>
  </w:style>
  <w:style w:type="character" w:styleId="FollowedHyperlink">
    <w:name w:val="FollowedHyperlink"/>
    <w:basedOn w:val="DefaultParagraphFont"/>
    <w:uiPriority w:val="99"/>
    <w:semiHidden/>
    <w:unhideWhenUsed/>
    <w:rsid w:val="00520B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783">
      <w:bodyDiv w:val="1"/>
      <w:marLeft w:val="0"/>
      <w:marRight w:val="0"/>
      <w:marTop w:val="0"/>
      <w:marBottom w:val="0"/>
      <w:divBdr>
        <w:top w:val="none" w:sz="0" w:space="0" w:color="auto"/>
        <w:left w:val="none" w:sz="0" w:space="0" w:color="auto"/>
        <w:bottom w:val="none" w:sz="0" w:space="0" w:color="auto"/>
        <w:right w:val="none" w:sz="0" w:space="0" w:color="auto"/>
      </w:divBdr>
    </w:div>
    <w:div w:id="1078359790">
      <w:bodyDiv w:val="1"/>
      <w:marLeft w:val="0"/>
      <w:marRight w:val="0"/>
      <w:marTop w:val="0"/>
      <w:marBottom w:val="0"/>
      <w:divBdr>
        <w:top w:val="none" w:sz="0" w:space="0" w:color="auto"/>
        <w:left w:val="none" w:sz="0" w:space="0" w:color="auto"/>
        <w:bottom w:val="none" w:sz="0" w:space="0" w:color="auto"/>
        <w:right w:val="none" w:sz="0" w:space="0" w:color="auto"/>
      </w:divBdr>
    </w:div>
    <w:div w:id="1293948145">
      <w:bodyDiv w:val="1"/>
      <w:marLeft w:val="0"/>
      <w:marRight w:val="0"/>
      <w:marTop w:val="0"/>
      <w:marBottom w:val="0"/>
      <w:divBdr>
        <w:top w:val="none" w:sz="0" w:space="0" w:color="auto"/>
        <w:left w:val="none" w:sz="0" w:space="0" w:color="auto"/>
        <w:bottom w:val="none" w:sz="0" w:space="0" w:color="auto"/>
        <w:right w:val="none" w:sz="0" w:space="0" w:color="auto"/>
      </w:divBdr>
    </w:div>
    <w:div w:id="1947031685">
      <w:bodyDiv w:val="1"/>
      <w:marLeft w:val="0"/>
      <w:marRight w:val="0"/>
      <w:marTop w:val="0"/>
      <w:marBottom w:val="0"/>
      <w:divBdr>
        <w:top w:val="none" w:sz="0" w:space="0" w:color="auto"/>
        <w:left w:val="none" w:sz="0" w:space="0" w:color="auto"/>
        <w:bottom w:val="none" w:sz="0" w:space="0" w:color="auto"/>
        <w:right w:val="none" w:sz="0" w:space="0" w:color="auto"/>
      </w:divBdr>
      <w:divsChild>
        <w:div w:id="592936371">
          <w:marLeft w:val="1411"/>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ndaiframework-mtr.undrr.org/sites/default/files/2022-01/MTR-SF-Voluntary-National-Report_Member-States_TEMPLATE_December%202021.pdf" TargetMode="External"/><Relationship Id="rId18" Type="http://schemas.openxmlformats.org/officeDocument/2006/relationships/hyperlink" Target="mailto:roberto.schianolomoriello@un.org" TargetMode="External"/><Relationship Id="rId26" Type="http://schemas.openxmlformats.org/officeDocument/2006/relationships/hyperlink" Target="mailto:juliet.martinez@un.org" TargetMode="External"/><Relationship Id="rId39"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mailto:jannan@un.org" TargetMode="External"/><Relationship Id="rId34" Type="http://schemas.openxmlformats.org/officeDocument/2006/relationships/diagramData" Target="diagrams/data1.xml"/><Relationship Id="rId7" Type="http://schemas.openxmlformats.org/officeDocument/2006/relationships/settings" Target="settings.xml"/><Relationship Id="rId12" Type="http://schemas.openxmlformats.org/officeDocument/2006/relationships/hyperlink" Target="https://sendaiframework-mtr.undrr.org/sites/default/files/2022-01/MTR-SF-Voluntary-National-Report_Member-States_TEMPLATE_December%202021.docx" TargetMode="External"/><Relationship Id="rId17" Type="http://schemas.openxmlformats.org/officeDocument/2006/relationships/hyperlink" Target="mailto:rossil@un.org" TargetMode="External"/><Relationship Id="rId25" Type="http://schemas.openxmlformats.org/officeDocument/2006/relationships/hyperlink" Target="mailto:penzini@un.org" TargetMode="External"/><Relationship Id="rId33" Type="http://schemas.openxmlformats.org/officeDocument/2006/relationships/footer" Target="footer3.xml"/><Relationship Id="rId38"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hyperlink" Target="mailto:momoko.nishikawa@un.org" TargetMode="External"/><Relationship Id="rId20" Type="http://schemas.openxmlformats.org/officeDocument/2006/relationships/hyperlink" Target="mailto:guralnick@un.org" TargetMode="External"/><Relationship Id="rId29" Type="http://schemas.openxmlformats.org/officeDocument/2006/relationships/header" Target="head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ndaiframework-mtr.undrr.org/about" TargetMode="External"/><Relationship Id="rId24" Type="http://schemas.openxmlformats.org/officeDocument/2006/relationships/hyperlink" Target="mailto:iria.touzoncalle@un.org" TargetMode="External"/><Relationship Id="rId32" Type="http://schemas.openxmlformats.org/officeDocument/2006/relationships/header" Target="header3.xml"/><Relationship Id="rId37" Type="http://schemas.openxmlformats.org/officeDocument/2006/relationships/diagramColors" Target="diagrams/colors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gordon6@un.org" TargetMode="External"/><Relationship Id="rId23" Type="http://schemas.openxmlformats.org/officeDocument/2006/relationships/hyperlink" Target="mailto:diana.mosquera@un.org" TargetMode="External"/><Relationship Id="rId28" Type="http://schemas.openxmlformats.org/officeDocument/2006/relationships/footer" Target="footer1.xml"/><Relationship Id="rId36"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hyperlink" Target="mailto:nahuel.arenasgarcia@un.org" TargetMode="Externa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hullar.aashish@gmail.com" TargetMode="External"/><Relationship Id="rId22" Type="http://schemas.openxmlformats.org/officeDocument/2006/relationships/hyperlink" Target="mailto:abuata@un.org"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diagramLayout" Target="diagrams/layout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s://undocs.org/en/A/75/226" TargetMode="External"/><Relationship Id="rId7" Type="http://schemas.openxmlformats.org/officeDocument/2006/relationships/hyperlink" Target="https://undocs.org/en/A/75/226" TargetMode="External"/><Relationship Id="rId2" Type="http://schemas.openxmlformats.org/officeDocument/2006/relationships/hyperlink" Target="https://digitallibrary.un.org/record/3896586?ln=en" TargetMode="External"/><Relationship Id="rId1" Type="http://schemas.openxmlformats.org/officeDocument/2006/relationships/hyperlink" Target="https://undocs.org/en/a/76/240" TargetMode="External"/><Relationship Id="rId6" Type="http://schemas.openxmlformats.org/officeDocument/2006/relationships/hyperlink" Target="https://undocs.org/en/A/RES/71/276" TargetMode="External"/><Relationship Id="rId5" Type="http://schemas.openxmlformats.org/officeDocument/2006/relationships/hyperlink" Target="https://undocs.org/A/RES/69/283" TargetMode="External"/><Relationship Id="rId4" Type="http://schemas.openxmlformats.org/officeDocument/2006/relationships/hyperlink" Target="https://undocs.org/en/a/76/2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37A33F-1731-42D6-B84E-44066CFC92D1}" type="doc">
      <dgm:prSet loTypeId="urn:microsoft.com/office/officeart/2005/8/layout/cycle4" loCatId="cycle" qsTypeId="urn:microsoft.com/office/officeart/2005/8/quickstyle/simple1" qsCatId="simple" csTypeId="urn:microsoft.com/office/officeart/2005/8/colors/accent1_2" csCatId="accent1" phldr="1"/>
      <dgm:spPr/>
      <dgm:t>
        <a:bodyPr/>
        <a:lstStyle/>
        <a:p>
          <a:endParaRPr lang="en-GB"/>
        </a:p>
      </dgm:t>
    </dgm:pt>
    <dgm:pt modelId="{3407AB1F-8199-4223-8DB9-C66F9EFB3A8A}">
      <dgm:prSet phldrT="[Text]" custT="1"/>
      <dgm:spPr>
        <a:solidFill>
          <a:schemeClr val="accent1">
            <a:lumMod val="20000"/>
            <a:lumOff val="80000"/>
          </a:schemeClr>
        </a:solidFill>
      </dgm:spPr>
      <dgm:t>
        <a:bodyPr/>
        <a:lstStyle/>
        <a:p>
          <a:r>
            <a:rPr lang="en-GB" sz="1300">
              <a:solidFill>
                <a:sysClr val="windowText" lastClr="000000"/>
              </a:solidFill>
            </a:rPr>
            <a:t>Q4 2021</a:t>
          </a:r>
        </a:p>
      </dgm:t>
    </dgm:pt>
    <dgm:pt modelId="{C9556D8E-FB04-4230-8E03-976825BDE6ED}" type="parTrans" cxnId="{F8ECB1AE-2ABC-4CA4-93ED-7C116AA1D7E0}">
      <dgm:prSet/>
      <dgm:spPr/>
      <dgm:t>
        <a:bodyPr/>
        <a:lstStyle/>
        <a:p>
          <a:endParaRPr lang="en-GB"/>
        </a:p>
      </dgm:t>
    </dgm:pt>
    <dgm:pt modelId="{CF0D5794-8DD6-4673-AAB2-CA5745629DF0}" type="sibTrans" cxnId="{F8ECB1AE-2ABC-4CA4-93ED-7C116AA1D7E0}">
      <dgm:prSet/>
      <dgm:spPr/>
      <dgm:t>
        <a:bodyPr/>
        <a:lstStyle/>
        <a:p>
          <a:endParaRPr lang="en-GB"/>
        </a:p>
      </dgm:t>
    </dgm:pt>
    <dgm:pt modelId="{4E441D93-F87D-49F6-A079-B2E89ECC26B8}">
      <dgm:prSet phldrT="[Text]"/>
      <dgm:spPr/>
      <dgm:t>
        <a:bodyPr/>
        <a:lstStyle/>
        <a:p>
          <a:r>
            <a:rPr lang="en-GB"/>
            <a:t>MTR SF Roadmap, substantive guidance, guiding questions, consultation guidance</a:t>
          </a:r>
        </a:p>
      </dgm:t>
    </dgm:pt>
    <dgm:pt modelId="{B9824E1C-497B-464F-993D-A72053F84886}" type="parTrans" cxnId="{DA1A56F7-D763-4050-ADF3-AA81AE1ABD3F}">
      <dgm:prSet/>
      <dgm:spPr/>
      <dgm:t>
        <a:bodyPr/>
        <a:lstStyle/>
        <a:p>
          <a:endParaRPr lang="en-GB"/>
        </a:p>
      </dgm:t>
    </dgm:pt>
    <dgm:pt modelId="{77758986-FEB4-47AA-B062-FBC5777BBEC4}" type="sibTrans" cxnId="{DA1A56F7-D763-4050-ADF3-AA81AE1ABD3F}">
      <dgm:prSet/>
      <dgm:spPr/>
      <dgm:t>
        <a:bodyPr/>
        <a:lstStyle/>
        <a:p>
          <a:endParaRPr lang="en-GB"/>
        </a:p>
      </dgm:t>
    </dgm:pt>
    <dgm:pt modelId="{40B79558-CEAC-4F71-8431-6E72494E9F86}">
      <dgm:prSet phldrT="[Text]" custT="1"/>
      <dgm:spPr>
        <a:solidFill>
          <a:schemeClr val="accent1">
            <a:lumMod val="40000"/>
            <a:lumOff val="60000"/>
          </a:schemeClr>
        </a:solidFill>
      </dgm:spPr>
      <dgm:t>
        <a:bodyPr/>
        <a:lstStyle/>
        <a:p>
          <a:r>
            <a:rPr lang="en-GB" sz="1300">
              <a:solidFill>
                <a:sysClr val="windowText" lastClr="000000"/>
              </a:solidFill>
            </a:rPr>
            <a:t>Q4 2021 - Q2 2022</a:t>
          </a:r>
        </a:p>
      </dgm:t>
    </dgm:pt>
    <dgm:pt modelId="{DE441793-B0DF-401C-81F4-2E48A4B337F8}" type="parTrans" cxnId="{D261F7F1-9BC9-48BA-971A-E2A75FC37CE3}">
      <dgm:prSet/>
      <dgm:spPr/>
      <dgm:t>
        <a:bodyPr/>
        <a:lstStyle/>
        <a:p>
          <a:endParaRPr lang="en-GB"/>
        </a:p>
      </dgm:t>
    </dgm:pt>
    <dgm:pt modelId="{643A249E-B210-4189-A12C-7238A37364CA}" type="sibTrans" cxnId="{D261F7F1-9BC9-48BA-971A-E2A75FC37CE3}">
      <dgm:prSet/>
      <dgm:spPr/>
      <dgm:t>
        <a:bodyPr/>
        <a:lstStyle/>
        <a:p>
          <a:endParaRPr lang="en-GB"/>
        </a:p>
      </dgm:t>
    </dgm:pt>
    <dgm:pt modelId="{9B302484-9EB0-4314-B7C9-B986A44428DF}">
      <dgm:prSet phldrT="[Text]" custT="1"/>
      <dgm:spPr>
        <a:solidFill>
          <a:schemeClr val="accent1">
            <a:lumMod val="60000"/>
            <a:lumOff val="40000"/>
          </a:schemeClr>
        </a:solidFill>
      </dgm:spPr>
      <dgm:t>
        <a:bodyPr/>
        <a:lstStyle/>
        <a:p>
          <a:r>
            <a:rPr lang="en-GB" sz="1300">
              <a:solidFill>
                <a:sysClr val="windowText" lastClr="000000"/>
              </a:solidFill>
            </a:rPr>
            <a:t>Q2 2022 - Q1</a:t>
          </a:r>
          <a:r>
            <a:rPr lang="en-GB" sz="1300"/>
            <a:t> </a:t>
          </a:r>
          <a:r>
            <a:rPr lang="en-GB" sz="1300">
              <a:solidFill>
                <a:sysClr val="windowText" lastClr="000000"/>
              </a:solidFill>
            </a:rPr>
            <a:t>2023</a:t>
          </a:r>
        </a:p>
      </dgm:t>
    </dgm:pt>
    <dgm:pt modelId="{44ECEBAF-3DAC-4591-A6CE-6EF512B65755}" type="parTrans" cxnId="{B4A63E34-A904-4835-96B5-8718A4792332}">
      <dgm:prSet/>
      <dgm:spPr/>
      <dgm:t>
        <a:bodyPr/>
        <a:lstStyle/>
        <a:p>
          <a:endParaRPr lang="en-GB"/>
        </a:p>
      </dgm:t>
    </dgm:pt>
    <dgm:pt modelId="{060F4033-66B4-4A83-86F3-5378E2A59E08}" type="sibTrans" cxnId="{B4A63E34-A904-4835-96B5-8718A4792332}">
      <dgm:prSet/>
      <dgm:spPr/>
      <dgm:t>
        <a:bodyPr/>
        <a:lstStyle/>
        <a:p>
          <a:endParaRPr lang="en-GB"/>
        </a:p>
      </dgm:t>
    </dgm:pt>
    <dgm:pt modelId="{027E1500-35BB-4BD9-8FB4-B79C63D51B22}">
      <dgm:prSet phldrT="[Text]"/>
      <dgm:spPr/>
      <dgm:t>
        <a:bodyPr/>
        <a:lstStyle/>
        <a:p>
          <a:r>
            <a:rPr lang="en-GB"/>
            <a:t>Information collection, synthesis and report drafting (main report and synthesis report)</a:t>
          </a:r>
        </a:p>
      </dgm:t>
    </dgm:pt>
    <dgm:pt modelId="{202B5CB4-C9AB-44D0-82D9-C08D008C2878}" type="parTrans" cxnId="{D261397B-C951-4123-B63A-4C61BD1B913E}">
      <dgm:prSet/>
      <dgm:spPr/>
      <dgm:t>
        <a:bodyPr/>
        <a:lstStyle/>
        <a:p>
          <a:endParaRPr lang="en-GB"/>
        </a:p>
      </dgm:t>
    </dgm:pt>
    <dgm:pt modelId="{49995E88-9BD0-45DF-B228-E45CBFACDE2C}" type="sibTrans" cxnId="{D261397B-C951-4123-B63A-4C61BD1B913E}">
      <dgm:prSet/>
      <dgm:spPr/>
      <dgm:t>
        <a:bodyPr/>
        <a:lstStyle/>
        <a:p>
          <a:endParaRPr lang="en-GB"/>
        </a:p>
      </dgm:t>
    </dgm:pt>
    <dgm:pt modelId="{81D4C5D6-F92A-4DB7-9196-65B8A062CF83}">
      <dgm:prSet phldrT="[Text]" custT="1"/>
      <dgm:spPr>
        <a:solidFill>
          <a:schemeClr val="accent1">
            <a:lumMod val="75000"/>
          </a:schemeClr>
        </a:solidFill>
      </dgm:spPr>
      <dgm:t>
        <a:bodyPr/>
        <a:lstStyle/>
        <a:p>
          <a:r>
            <a:rPr lang="en-GB" sz="1300"/>
            <a:t>Q1 - Q4 2023</a:t>
          </a:r>
        </a:p>
      </dgm:t>
    </dgm:pt>
    <dgm:pt modelId="{CDFFB5B1-A15C-4016-8844-5C071264F682}" type="parTrans" cxnId="{DB3D0AD7-CDB6-41DE-958A-91D15E829548}">
      <dgm:prSet/>
      <dgm:spPr/>
      <dgm:t>
        <a:bodyPr/>
        <a:lstStyle/>
        <a:p>
          <a:endParaRPr lang="en-GB"/>
        </a:p>
      </dgm:t>
    </dgm:pt>
    <dgm:pt modelId="{B8E85298-C270-4BC4-88F5-B4CE8385BCAB}" type="sibTrans" cxnId="{DB3D0AD7-CDB6-41DE-958A-91D15E829548}">
      <dgm:prSet/>
      <dgm:spPr/>
      <dgm:t>
        <a:bodyPr/>
        <a:lstStyle/>
        <a:p>
          <a:endParaRPr lang="en-GB"/>
        </a:p>
      </dgm:t>
    </dgm:pt>
    <dgm:pt modelId="{81A98511-7102-4D82-A9DB-A4261F8CBDE6}">
      <dgm:prSet phldrT="[Text]"/>
      <dgm:spPr/>
      <dgm:t>
        <a:bodyPr/>
        <a:lstStyle/>
        <a:p>
          <a:r>
            <a:rPr lang="en-GB"/>
            <a:t>Deliberations of NY Delegates on the MTR SF on outcomes to inform the HLPF and SDGs Summit</a:t>
          </a:r>
        </a:p>
      </dgm:t>
    </dgm:pt>
    <dgm:pt modelId="{AE0E7514-D381-469E-A729-9A2AC6DD6B38}" type="parTrans" cxnId="{24E9C67C-6BB3-4914-93A0-22B3F035B8CF}">
      <dgm:prSet/>
      <dgm:spPr/>
      <dgm:t>
        <a:bodyPr/>
        <a:lstStyle/>
        <a:p>
          <a:endParaRPr lang="en-GB"/>
        </a:p>
      </dgm:t>
    </dgm:pt>
    <dgm:pt modelId="{7269B0AE-CAC1-467E-9323-B84F684B57A0}" type="sibTrans" cxnId="{24E9C67C-6BB3-4914-93A0-22B3F035B8CF}">
      <dgm:prSet/>
      <dgm:spPr/>
      <dgm:t>
        <a:bodyPr/>
        <a:lstStyle/>
        <a:p>
          <a:endParaRPr lang="en-GB"/>
        </a:p>
      </dgm:t>
    </dgm:pt>
    <dgm:pt modelId="{C78CC805-2E54-4E11-97EA-6117B9608D1E}">
      <dgm:prSet phldrT="[Text]"/>
      <dgm:spPr/>
      <dgm:t>
        <a:bodyPr/>
        <a:lstStyle/>
        <a:p>
          <a:r>
            <a:rPr lang="en-GB"/>
            <a:t>Dialogues, consultations &amp; review (including at GP2022 &amp; RPs), commission studies, literature review</a:t>
          </a:r>
        </a:p>
      </dgm:t>
    </dgm:pt>
    <dgm:pt modelId="{F9E5F063-2088-493A-91CD-706314DC49FD}" type="sibTrans" cxnId="{F05FBA32-EFD9-4B4A-9001-FC55454A4DDE}">
      <dgm:prSet/>
      <dgm:spPr/>
      <dgm:t>
        <a:bodyPr/>
        <a:lstStyle/>
        <a:p>
          <a:endParaRPr lang="en-GB"/>
        </a:p>
      </dgm:t>
    </dgm:pt>
    <dgm:pt modelId="{D8A10A02-B477-40B3-A577-DA56EE68EE2E}" type="parTrans" cxnId="{F05FBA32-EFD9-4B4A-9001-FC55454A4DDE}">
      <dgm:prSet/>
      <dgm:spPr/>
      <dgm:t>
        <a:bodyPr/>
        <a:lstStyle/>
        <a:p>
          <a:endParaRPr lang="en-GB"/>
        </a:p>
      </dgm:t>
    </dgm:pt>
    <dgm:pt modelId="{7823237A-FF88-4F00-BC4A-D2435325BFD0}" type="pres">
      <dgm:prSet presAssocID="{8F37A33F-1731-42D6-B84E-44066CFC92D1}" presName="cycleMatrixDiagram" presStyleCnt="0">
        <dgm:presLayoutVars>
          <dgm:chMax val="1"/>
          <dgm:dir/>
          <dgm:animLvl val="lvl"/>
          <dgm:resizeHandles val="exact"/>
        </dgm:presLayoutVars>
      </dgm:prSet>
      <dgm:spPr/>
    </dgm:pt>
    <dgm:pt modelId="{3FC62C61-AECE-4945-BBC5-4C3AC3D9AF2B}" type="pres">
      <dgm:prSet presAssocID="{8F37A33F-1731-42D6-B84E-44066CFC92D1}" presName="children" presStyleCnt="0"/>
      <dgm:spPr/>
    </dgm:pt>
    <dgm:pt modelId="{57EC7AE4-59B2-4B58-96E6-01A1A43B75BD}" type="pres">
      <dgm:prSet presAssocID="{8F37A33F-1731-42D6-B84E-44066CFC92D1}" presName="child1group" presStyleCnt="0"/>
      <dgm:spPr/>
    </dgm:pt>
    <dgm:pt modelId="{36A63CAB-168E-4F29-8FD0-1B1B43D69B2A}" type="pres">
      <dgm:prSet presAssocID="{8F37A33F-1731-42D6-B84E-44066CFC92D1}" presName="child1" presStyleLbl="bgAcc1" presStyleIdx="0" presStyleCnt="4"/>
      <dgm:spPr/>
    </dgm:pt>
    <dgm:pt modelId="{724BA341-F825-489F-9920-B08749D6D4B5}" type="pres">
      <dgm:prSet presAssocID="{8F37A33F-1731-42D6-B84E-44066CFC92D1}" presName="child1Text" presStyleLbl="bgAcc1" presStyleIdx="0" presStyleCnt="4">
        <dgm:presLayoutVars>
          <dgm:bulletEnabled val="1"/>
        </dgm:presLayoutVars>
      </dgm:prSet>
      <dgm:spPr/>
    </dgm:pt>
    <dgm:pt modelId="{6AFD0C2B-39AB-4322-A11C-E41A8DE374FF}" type="pres">
      <dgm:prSet presAssocID="{8F37A33F-1731-42D6-B84E-44066CFC92D1}" presName="child2group" presStyleCnt="0"/>
      <dgm:spPr/>
    </dgm:pt>
    <dgm:pt modelId="{66BF92E5-9BB4-4094-911F-4FA7FF3A3172}" type="pres">
      <dgm:prSet presAssocID="{8F37A33F-1731-42D6-B84E-44066CFC92D1}" presName="child2" presStyleLbl="bgAcc1" presStyleIdx="1" presStyleCnt="4"/>
      <dgm:spPr/>
    </dgm:pt>
    <dgm:pt modelId="{8A69D44C-3360-415F-94C0-1AF77A5D9E83}" type="pres">
      <dgm:prSet presAssocID="{8F37A33F-1731-42D6-B84E-44066CFC92D1}" presName="child2Text" presStyleLbl="bgAcc1" presStyleIdx="1" presStyleCnt="4">
        <dgm:presLayoutVars>
          <dgm:bulletEnabled val="1"/>
        </dgm:presLayoutVars>
      </dgm:prSet>
      <dgm:spPr/>
    </dgm:pt>
    <dgm:pt modelId="{1F8ECFEB-3549-49D5-A857-559694490F69}" type="pres">
      <dgm:prSet presAssocID="{8F37A33F-1731-42D6-B84E-44066CFC92D1}" presName="child3group" presStyleCnt="0"/>
      <dgm:spPr/>
    </dgm:pt>
    <dgm:pt modelId="{B47B205F-674C-4E4C-947B-2FE00E9A927B}" type="pres">
      <dgm:prSet presAssocID="{8F37A33F-1731-42D6-B84E-44066CFC92D1}" presName="child3" presStyleLbl="bgAcc1" presStyleIdx="2" presStyleCnt="4"/>
      <dgm:spPr/>
    </dgm:pt>
    <dgm:pt modelId="{CE626191-4BA0-4E53-B8B8-BD1FA2CEB6B1}" type="pres">
      <dgm:prSet presAssocID="{8F37A33F-1731-42D6-B84E-44066CFC92D1}" presName="child3Text" presStyleLbl="bgAcc1" presStyleIdx="2" presStyleCnt="4">
        <dgm:presLayoutVars>
          <dgm:bulletEnabled val="1"/>
        </dgm:presLayoutVars>
      </dgm:prSet>
      <dgm:spPr/>
    </dgm:pt>
    <dgm:pt modelId="{3B3BEC4C-49DE-4D34-8366-78D06890A731}" type="pres">
      <dgm:prSet presAssocID="{8F37A33F-1731-42D6-B84E-44066CFC92D1}" presName="child4group" presStyleCnt="0"/>
      <dgm:spPr/>
    </dgm:pt>
    <dgm:pt modelId="{867D651F-C0A9-4802-9087-C1214EE84D26}" type="pres">
      <dgm:prSet presAssocID="{8F37A33F-1731-42D6-B84E-44066CFC92D1}" presName="child4" presStyleLbl="bgAcc1" presStyleIdx="3" presStyleCnt="4"/>
      <dgm:spPr/>
    </dgm:pt>
    <dgm:pt modelId="{D36747C9-A22F-47CA-B81D-0B9B4708EF9E}" type="pres">
      <dgm:prSet presAssocID="{8F37A33F-1731-42D6-B84E-44066CFC92D1}" presName="child4Text" presStyleLbl="bgAcc1" presStyleIdx="3" presStyleCnt="4">
        <dgm:presLayoutVars>
          <dgm:bulletEnabled val="1"/>
        </dgm:presLayoutVars>
      </dgm:prSet>
      <dgm:spPr/>
    </dgm:pt>
    <dgm:pt modelId="{1D93039B-FA1B-4E31-84E3-E5BDB69C4E06}" type="pres">
      <dgm:prSet presAssocID="{8F37A33F-1731-42D6-B84E-44066CFC92D1}" presName="childPlaceholder" presStyleCnt="0"/>
      <dgm:spPr/>
    </dgm:pt>
    <dgm:pt modelId="{F6DD7579-A012-40AB-8DFF-90A921D96652}" type="pres">
      <dgm:prSet presAssocID="{8F37A33F-1731-42D6-B84E-44066CFC92D1}" presName="circle" presStyleCnt="0"/>
      <dgm:spPr/>
    </dgm:pt>
    <dgm:pt modelId="{CAE5609A-3966-4ED8-BCF0-30AA63638F00}" type="pres">
      <dgm:prSet presAssocID="{8F37A33F-1731-42D6-B84E-44066CFC92D1}" presName="quadrant1" presStyleLbl="node1" presStyleIdx="0" presStyleCnt="4" custScaleX="85111" custScaleY="84824">
        <dgm:presLayoutVars>
          <dgm:chMax val="1"/>
          <dgm:bulletEnabled val="1"/>
        </dgm:presLayoutVars>
      </dgm:prSet>
      <dgm:spPr/>
    </dgm:pt>
    <dgm:pt modelId="{6C1695A3-1C07-41CA-8FE9-103CE282F1D9}" type="pres">
      <dgm:prSet presAssocID="{8F37A33F-1731-42D6-B84E-44066CFC92D1}" presName="quadrant2" presStyleLbl="node1" presStyleIdx="1" presStyleCnt="4" custScaleX="92091" custScaleY="83998">
        <dgm:presLayoutVars>
          <dgm:chMax val="1"/>
          <dgm:bulletEnabled val="1"/>
        </dgm:presLayoutVars>
      </dgm:prSet>
      <dgm:spPr/>
    </dgm:pt>
    <dgm:pt modelId="{52D1386D-5125-49FE-B5BE-797EC06E487C}" type="pres">
      <dgm:prSet presAssocID="{8F37A33F-1731-42D6-B84E-44066CFC92D1}" presName="quadrant3" presStyleLbl="node1" presStyleIdx="2" presStyleCnt="4" custScaleX="89701" custScaleY="88840">
        <dgm:presLayoutVars>
          <dgm:chMax val="1"/>
          <dgm:bulletEnabled val="1"/>
        </dgm:presLayoutVars>
      </dgm:prSet>
      <dgm:spPr/>
    </dgm:pt>
    <dgm:pt modelId="{BAD191DF-BB0D-41D3-B7BA-9432DA450B6B}" type="pres">
      <dgm:prSet presAssocID="{8F37A33F-1731-42D6-B84E-44066CFC92D1}" presName="quadrant4" presStyleLbl="node1" presStyleIdx="3" presStyleCnt="4" custScaleX="86258" custScaleY="88840">
        <dgm:presLayoutVars>
          <dgm:chMax val="1"/>
          <dgm:bulletEnabled val="1"/>
        </dgm:presLayoutVars>
      </dgm:prSet>
      <dgm:spPr/>
    </dgm:pt>
    <dgm:pt modelId="{20B2F32E-A25B-4B99-85AA-7F2E523A6455}" type="pres">
      <dgm:prSet presAssocID="{8F37A33F-1731-42D6-B84E-44066CFC92D1}" presName="quadrantPlaceholder" presStyleCnt="0"/>
      <dgm:spPr/>
    </dgm:pt>
    <dgm:pt modelId="{AEA76ACB-EFC7-42DF-A0E1-3D6620C10F0C}" type="pres">
      <dgm:prSet presAssocID="{8F37A33F-1731-42D6-B84E-44066CFC92D1}" presName="center1" presStyleLbl="fgShp" presStyleIdx="0" presStyleCnt="2" custAng="7216480" custScaleX="423122" custScaleY="767658" custLinFactX="-9980" custLinFactNeighborX="-100000" custLinFactNeighborY="-16587"/>
      <dgm:spPr>
        <a:noFill/>
        <a:ln>
          <a:noFill/>
        </a:ln>
      </dgm:spPr>
    </dgm:pt>
    <dgm:pt modelId="{BE058389-E1EB-444E-8F40-B70F4320F9A6}" type="pres">
      <dgm:prSet presAssocID="{8F37A33F-1731-42D6-B84E-44066CFC92D1}" presName="center2" presStyleLbl="fgShp" presStyleIdx="1" presStyleCnt="2" custScaleX="166185" custScaleY="205208" custLinFactNeighborY="10367"/>
      <dgm:spPr>
        <a:noFill/>
        <a:ln>
          <a:noFill/>
        </a:ln>
      </dgm:spPr>
    </dgm:pt>
  </dgm:ptLst>
  <dgm:cxnLst>
    <dgm:cxn modelId="{A41FCE0D-9A9C-4CDE-8342-ECBC6ED3716D}" type="presOf" srcId="{81D4C5D6-F92A-4DB7-9196-65B8A062CF83}" destId="{BAD191DF-BB0D-41D3-B7BA-9432DA450B6B}" srcOrd="0" destOrd="0" presId="urn:microsoft.com/office/officeart/2005/8/layout/cycle4"/>
    <dgm:cxn modelId="{C5B5601D-7A95-4A3A-AB5A-C355D1C80B79}" type="presOf" srcId="{9B302484-9EB0-4314-B7C9-B986A44428DF}" destId="{52D1386D-5125-49FE-B5BE-797EC06E487C}" srcOrd="0" destOrd="0" presId="urn:microsoft.com/office/officeart/2005/8/layout/cycle4"/>
    <dgm:cxn modelId="{F05FBA32-EFD9-4B4A-9001-FC55454A4DDE}" srcId="{40B79558-CEAC-4F71-8431-6E72494E9F86}" destId="{C78CC805-2E54-4E11-97EA-6117B9608D1E}" srcOrd="0" destOrd="0" parTransId="{D8A10A02-B477-40B3-A577-DA56EE68EE2E}" sibTransId="{F9E5F063-2088-493A-91CD-706314DC49FD}"/>
    <dgm:cxn modelId="{479BE333-7453-4F92-8999-A97034ED38C0}" type="presOf" srcId="{027E1500-35BB-4BD9-8FB4-B79C63D51B22}" destId="{B47B205F-674C-4E4C-947B-2FE00E9A927B}" srcOrd="0" destOrd="0" presId="urn:microsoft.com/office/officeart/2005/8/layout/cycle4"/>
    <dgm:cxn modelId="{B4A63E34-A904-4835-96B5-8718A4792332}" srcId="{8F37A33F-1731-42D6-B84E-44066CFC92D1}" destId="{9B302484-9EB0-4314-B7C9-B986A44428DF}" srcOrd="2" destOrd="0" parTransId="{44ECEBAF-3DAC-4591-A6CE-6EF512B65755}" sibTransId="{060F4033-66B4-4A83-86F3-5378E2A59E08}"/>
    <dgm:cxn modelId="{45651F38-4E2E-42B5-81AD-4467C4A1ABB0}" type="presOf" srcId="{8F37A33F-1731-42D6-B84E-44066CFC92D1}" destId="{7823237A-FF88-4F00-BC4A-D2435325BFD0}" srcOrd="0" destOrd="0" presId="urn:microsoft.com/office/officeart/2005/8/layout/cycle4"/>
    <dgm:cxn modelId="{755D916A-9B79-4F1B-8DE4-8EAF1D1BF036}" type="presOf" srcId="{C78CC805-2E54-4E11-97EA-6117B9608D1E}" destId="{66BF92E5-9BB4-4094-911F-4FA7FF3A3172}" srcOrd="0" destOrd="0" presId="urn:microsoft.com/office/officeart/2005/8/layout/cycle4"/>
    <dgm:cxn modelId="{B4284A77-BF0C-44BF-9462-DF15045A3BFF}" type="presOf" srcId="{4E441D93-F87D-49F6-A079-B2E89ECC26B8}" destId="{724BA341-F825-489F-9920-B08749D6D4B5}" srcOrd="1" destOrd="0" presId="urn:microsoft.com/office/officeart/2005/8/layout/cycle4"/>
    <dgm:cxn modelId="{ADC76779-B3B6-434A-8A3F-9CE44A871AE8}" type="presOf" srcId="{027E1500-35BB-4BD9-8FB4-B79C63D51B22}" destId="{CE626191-4BA0-4E53-B8B8-BD1FA2CEB6B1}" srcOrd="1" destOrd="0" presId="urn:microsoft.com/office/officeart/2005/8/layout/cycle4"/>
    <dgm:cxn modelId="{D261397B-C951-4123-B63A-4C61BD1B913E}" srcId="{9B302484-9EB0-4314-B7C9-B986A44428DF}" destId="{027E1500-35BB-4BD9-8FB4-B79C63D51B22}" srcOrd="0" destOrd="0" parTransId="{202B5CB4-C9AB-44D0-82D9-C08D008C2878}" sibTransId="{49995E88-9BD0-45DF-B228-E45CBFACDE2C}"/>
    <dgm:cxn modelId="{24E9C67C-6BB3-4914-93A0-22B3F035B8CF}" srcId="{81D4C5D6-F92A-4DB7-9196-65B8A062CF83}" destId="{81A98511-7102-4D82-A9DB-A4261F8CBDE6}" srcOrd="0" destOrd="0" parTransId="{AE0E7514-D381-469E-A729-9A2AC6DD6B38}" sibTransId="{7269B0AE-CAC1-467E-9323-B84F684B57A0}"/>
    <dgm:cxn modelId="{8E3B067F-AFED-42DE-9C99-D7001349696A}" type="presOf" srcId="{81A98511-7102-4D82-A9DB-A4261F8CBDE6}" destId="{867D651F-C0A9-4802-9087-C1214EE84D26}" srcOrd="0" destOrd="0" presId="urn:microsoft.com/office/officeart/2005/8/layout/cycle4"/>
    <dgm:cxn modelId="{F2029881-6462-4389-9DB4-D44B939D8E89}" type="presOf" srcId="{40B79558-CEAC-4F71-8431-6E72494E9F86}" destId="{6C1695A3-1C07-41CA-8FE9-103CE282F1D9}" srcOrd="0" destOrd="0" presId="urn:microsoft.com/office/officeart/2005/8/layout/cycle4"/>
    <dgm:cxn modelId="{8B795682-74B5-4433-8772-20617DA1E78E}" type="presOf" srcId="{3407AB1F-8199-4223-8DB9-C66F9EFB3A8A}" destId="{CAE5609A-3966-4ED8-BCF0-30AA63638F00}" srcOrd="0" destOrd="0" presId="urn:microsoft.com/office/officeart/2005/8/layout/cycle4"/>
    <dgm:cxn modelId="{F8ECB1AE-2ABC-4CA4-93ED-7C116AA1D7E0}" srcId="{8F37A33F-1731-42D6-B84E-44066CFC92D1}" destId="{3407AB1F-8199-4223-8DB9-C66F9EFB3A8A}" srcOrd="0" destOrd="0" parTransId="{C9556D8E-FB04-4230-8E03-976825BDE6ED}" sibTransId="{CF0D5794-8DD6-4673-AAB2-CA5745629DF0}"/>
    <dgm:cxn modelId="{DFA1A4BB-94B9-4DEF-8F6E-8D421B583079}" type="presOf" srcId="{C78CC805-2E54-4E11-97EA-6117B9608D1E}" destId="{8A69D44C-3360-415F-94C0-1AF77A5D9E83}" srcOrd="1" destOrd="0" presId="urn:microsoft.com/office/officeart/2005/8/layout/cycle4"/>
    <dgm:cxn modelId="{DB3D0AD7-CDB6-41DE-958A-91D15E829548}" srcId="{8F37A33F-1731-42D6-B84E-44066CFC92D1}" destId="{81D4C5D6-F92A-4DB7-9196-65B8A062CF83}" srcOrd="3" destOrd="0" parTransId="{CDFFB5B1-A15C-4016-8844-5C071264F682}" sibTransId="{B8E85298-C270-4BC4-88F5-B4CE8385BCAB}"/>
    <dgm:cxn modelId="{151C7ADE-2CD5-4C54-893F-E0A1B89A4977}" type="presOf" srcId="{81A98511-7102-4D82-A9DB-A4261F8CBDE6}" destId="{D36747C9-A22F-47CA-B81D-0B9B4708EF9E}" srcOrd="1" destOrd="0" presId="urn:microsoft.com/office/officeart/2005/8/layout/cycle4"/>
    <dgm:cxn modelId="{889B19EB-CF64-4A57-ACDF-156A83B676BB}" type="presOf" srcId="{4E441D93-F87D-49F6-A079-B2E89ECC26B8}" destId="{36A63CAB-168E-4F29-8FD0-1B1B43D69B2A}" srcOrd="0" destOrd="0" presId="urn:microsoft.com/office/officeart/2005/8/layout/cycle4"/>
    <dgm:cxn modelId="{D261F7F1-9BC9-48BA-971A-E2A75FC37CE3}" srcId="{8F37A33F-1731-42D6-B84E-44066CFC92D1}" destId="{40B79558-CEAC-4F71-8431-6E72494E9F86}" srcOrd="1" destOrd="0" parTransId="{DE441793-B0DF-401C-81F4-2E48A4B337F8}" sibTransId="{643A249E-B210-4189-A12C-7238A37364CA}"/>
    <dgm:cxn modelId="{DA1A56F7-D763-4050-ADF3-AA81AE1ABD3F}" srcId="{3407AB1F-8199-4223-8DB9-C66F9EFB3A8A}" destId="{4E441D93-F87D-49F6-A079-B2E89ECC26B8}" srcOrd="0" destOrd="0" parTransId="{B9824E1C-497B-464F-993D-A72053F84886}" sibTransId="{77758986-FEB4-47AA-B062-FBC5777BBEC4}"/>
    <dgm:cxn modelId="{7826989F-57B7-4CDF-A79A-EFD5CB543452}" type="presParOf" srcId="{7823237A-FF88-4F00-BC4A-D2435325BFD0}" destId="{3FC62C61-AECE-4945-BBC5-4C3AC3D9AF2B}" srcOrd="0" destOrd="0" presId="urn:microsoft.com/office/officeart/2005/8/layout/cycle4"/>
    <dgm:cxn modelId="{2427A49A-C243-4A7A-ABA7-9A45792429E6}" type="presParOf" srcId="{3FC62C61-AECE-4945-BBC5-4C3AC3D9AF2B}" destId="{57EC7AE4-59B2-4B58-96E6-01A1A43B75BD}" srcOrd="0" destOrd="0" presId="urn:microsoft.com/office/officeart/2005/8/layout/cycle4"/>
    <dgm:cxn modelId="{C0B2E07E-67DC-4213-9EDA-C3C52CC92755}" type="presParOf" srcId="{57EC7AE4-59B2-4B58-96E6-01A1A43B75BD}" destId="{36A63CAB-168E-4F29-8FD0-1B1B43D69B2A}" srcOrd="0" destOrd="0" presId="urn:microsoft.com/office/officeart/2005/8/layout/cycle4"/>
    <dgm:cxn modelId="{C6AFB2EC-ACF5-4515-B509-ADFD96EBF14F}" type="presParOf" srcId="{57EC7AE4-59B2-4B58-96E6-01A1A43B75BD}" destId="{724BA341-F825-489F-9920-B08749D6D4B5}" srcOrd="1" destOrd="0" presId="urn:microsoft.com/office/officeart/2005/8/layout/cycle4"/>
    <dgm:cxn modelId="{2A95A76D-28F8-42A1-9DB5-B16349754130}" type="presParOf" srcId="{3FC62C61-AECE-4945-BBC5-4C3AC3D9AF2B}" destId="{6AFD0C2B-39AB-4322-A11C-E41A8DE374FF}" srcOrd="1" destOrd="0" presId="urn:microsoft.com/office/officeart/2005/8/layout/cycle4"/>
    <dgm:cxn modelId="{88414201-D081-4BE1-8606-9D4B25AEB02B}" type="presParOf" srcId="{6AFD0C2B-39AB-4322-A11C-E41A8DE374FF}" destId="{66BF92E5-9BB4-4094-911F-4FA7FF3A3172}" srcOrd="0" destOrd="0" presId="urn:microsoft.com/office/officeart/2005/8/layout/cycle4"/>
    <dgm:cxn modelId="{33B4E147-64C4-40EA-9619-8BD005B88A7B}" type="presParOf" srcId="{6AFD0C2B-39AB-4322-A11C-E41A8DE374FF}" destId="{8A69D44C-3360-415F-94C0-1AF77A5D9E83}" srcOrd="1" destOrd="0" presId="urn:microsoft.com/office/officeart/2005/8/layout/cycle4"/>
    <dgm:cxn modelId="{B9776897-E149-42EF-9B6D-758F119E968A}" type="presParOf" srcId="{3FC62C61-AECE-4945-BBC5-4C3AC3D9AF2B}" destId="{1F8ECFEB-3549-49D5-A857-559694490F69}" srcOrd="2" destOrd="0" presId="urn:microsoft.com/office/officeart/2005/8/layout/cycle4"/>
    <dgm:cxn modelId="{88AB0226-0189-47E3-B8CD-3A62F80F0516}" type="presParOf" srcId="{1F8ECFEB-3549-49D5-A857-559694490F69}" destId="{B47B205F-674C-4E4C-947B-2FE00E9A927B}" srcOrd="0" destOrd="0" presId="urn:microsoft.com/office/officeart/2005/8/layout/cycle4"/>
    <dgm:cxn modelId="{6B71DE1C-06EA-47CE-A6ED-9CAF2979C8C3}" type="presParOf" srcId="{1F8ECFEB-3549-49D5-A857-559694490F69}" destId="{CE626191-4BA0-4E53-B8B8-BD1FA2CEB6B1}" srcOrd="1" destOrd="0" presId="urn:microsoft.com/office/officeart/2005/8/layout/cycle4"/>
    <dgm:cxn modelId="{052C8106-668D-4A40-B6D9-5FD23941B138}" type="presParOf" srcId="{3FC62C61-AECE-4945-BBC5-4C3AC3D9AF2B}" destId="{3B3BEC4C-49DE-4D34-8366-78D06890A731}" srcOrd="3" destOrd="0" presId="urn:microsoft.com/office/officeart/2005/8/layout/cycle4"/>
    <dgm:cxn modelId="{648C3390-FE9D-4CD4-A9A5-FDAF77186746}" type="presParOf" srcId="{3B3BEC4C-49DE-4D34-8366-78D06890A731}" destId="{867D651F-C0A9-4802-9087-C1214EE84D26}" srcOrd="0" destOrd="0" presId="urn:microsoft.com/office/officeart/2005/8/layout/cycle4"/>
    <dgm:cxn modelId="{3069E24D-364C-408C-9731-2CC1B6AC95EA}" type="presParOf" srcId="{3B3BEC4C-49DE-4D34-8366-78D06890A731}" destId="{D36747C9-A22F-47CA-B81D-0B9B4708EF9E}" srcOrd="1" destOrd="0" presId="urn:microsoft.com/office/officeart/2005/8/layout/cycle4"/>
    <dgm:cxn modelId="{05BF39EB-23F0-496E-805E-AC4526985B90}" type="presParOf" srcId="{3FC62C61-AECE-4945-BBC5-4C3AC3D9AF2B}" destId="{1D93039B-FA1B-4E31-84E3-E5BDB69C4E06}" srcOrd="4" destOrd="0" presId="urn:microsoft.com/office/officeart/2005/8/layout/cycle4"/>
    <dgm:cxn modelId="{81079B9D-21AD-476A-AC2B-61A90987375E}" type="presParOf" srcId="{7823237A-FF88-4F00-BC4A-D2435325BFD0}" destId="{F6DD7579-A012-40AB-8DFF-90A921D96652}" srcOrd="1" destOrd="0" presId="urn:microsoft.com/office/officeart/2005/8/layout/cycle4"/>
    <dgm:cxn modelId="{F1F2A22D-9CA5-4932-915F-6C4F2D32662E}" type="presParOf" srcId="{F6DD7579-A012-40AB-8DFF-90A921D96652}" destId="{CAE5609A-3966-4ED8-BCF0-30AA63638F00}" srcOrd="0" destOrd="0" presId="urn:microsoft.com/office/officeart/2005/8/layout/cycle4"/>
    <dgm:cxn modelId="{4C55C231-3E09-4383-A3F5-48462104A981}" type="presParOf" srcId="{F6DD7579-A012-40AB-8DFF-90A921D96652}" destId="{6C1695A3-1C07-41CA-8FE9-103CE282F1D9}" srcOrd="1" destOrd="0" presId="urn:microsoft.com/office/officeart/2005/8/layout/cycle4"/>
    <dgm:cxn modelId="{00804DDF-1E24-4E10-8D52-1C2852EB5159}" type="presParOf" srcId="{F6DD7579-A012-40AB-8DFF-90A921D96652}" destId="{52D1386D-5125-49FE-B5BE-797EC06E487C}" srcOrd="2" destOrd="0" presId="urn:microsoft.com/office/officeart/2005/8/layout/cycle4"/>
    <dgm:cxn modelId="{3E1D7A26-CB77-4577-89FE-983CED29C5D1}" type="presParOf" srcId="{F6DD7579-A012-40AB-8DFF-90A921D96652}" destId="{BAD191DF-BB0D-41D3-B7BA-9432DA450B6B}" srcOrd="3" destOrd="0" presId="urn:microsoft.com/office/officeart/2005/8/layout/cycle4"/>
    <dgm:cxn modelId="{1965B8C7-41C2-475F-B481-C878253C9F8D}" type="presParOf" srcId="{F6DD7579-A012-40AB-8DFF-90A921D96652}" destId="{20B2F32E-A25B-4B99-85AA-7F2E523A6455}" srcOrd="4" destOrd="0" presId="urn:microsoft.com/office/officeart/2005/8/layout/cycle4"/>
    <dgm:cxn modelId="{469FF02B-F71A-4B01-9728-A17B159A60AE}" type="presParOf" srcId="{7823237A-FF88-4F00-BC4A-D2435325BFD0}" destId="{AEA76ACB-EFC7-42DF-A0E1-3D6620C10F0C}" srcOrd="2" destOrd="0" presId="urn:microsoft.com/office/officeart/2005/8/layout/cycle4"/>
    <dgm:cxn modelId="{32F8B24A-1FD9-4389-9A7D-13862065A7BD}" type="presParOf" srcId="{7823237A-FF88-4F00-BC4A-D2435325BFD0}" destId="{BE058389-E1EB-444E-8F40-B70F4320F9A6}" srcOrd="3" destOrd="0" presId="urn:microsoft.com/office/officeart/2005/8/layout/cycle4"/>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7B205F-674C-4E4C-947B-2FE00E9A927B}">
      <dsp:nvSpPr>
        <dsp:cNvPr id="0" name=""/>
        <dsp:cNvSpPr/>
      </dsp:nvSpPr>
      <dsp:spPr>
        <a:xfrm>
          <a:off x="3242462" y="2214641"/>
          <a:ext cx="1580997" cy="102412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311150">
            <a:lnSpc>
              <a:spcPct val="90000"/>
            </a:lnSpc>
            <a:spcBef>
              <a:spcPct val="0"/>
            </a:spcBef>
            <a:spcAft>
              <a:spcPct val="15000"/>
            </a:spcAft>
            <a:buChar char="•"/>
          </a:pPr>
          <a:r>
            <a:rPr lang="en-GB" sz="700" kern="1200"/>
            <a:t>Information collection, synthesis and report drafting (main report and synthesis report)</a:t>
          </a:r>
        </a:p>
      </dsp:txBody>
      <dsp:txXfrm>
        <a:off x="3739258" y="2493170"/>
        <a:ext cx="1061704" cy="723102"/>
      </dsp:txXfrm>
    </dsp:sp>
    <dsp:sp modelId="{867D651F-C0A9-4802-9087-C1214EE84D26}">
      <dsp:nvSpPr>
        <dsp:cNvPr id="0" name=""/>
        <dsp:cNvSpPr/>
      </dsp:nvSpPr>
      <dsp:spPr>
        <a:xfrm>
          <a:off x="662939" y="2214641"/>
          <a:ext cx="1580997" cy="102412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311150">
            <a:lnSpc>
              <a:spcPct val="90000"/>
            </a:lnSpc>
            <a:spcBef>
              <a:spcPct val="0"/>
            </a:spcBef>
            <a:spcAft>
              <a:spcPct val="15000"/>
            </a:spcAft>
            <a:buChar char="•"/>
          </a:pPr>
          <a:r>
            <a:rPr lang="en-GB" sz="700" kern="1200"/>
            <a:t>Deliberations of NY Delegates on the MTR SF on outcomes to inform the HLPF and SDGs Summit</a:t>
          </a:r>
        </a:p>
      </dsp:txBody>
      <dsp:txXfrm>
        <a:off x="685436" y="2493170"/>
        <a:ext cx="1061704" cy="723102"/>
      </dsp:txXfrm>
    </dsp:sp>
    <dsp:sp modelId="{66BF92E5-9BB4-4094-911F-4FA7FF3A3172}">
      <dsp:nvSpPr>
        <dsp:cNvPr id="0" name=""/>
        <dsp:cNvSpPr/>
      </dsp:nvSpPr>
      <dsp:spPr>
        <a:xfrm>
          <a:off x="3242462" y="38369"/>
          <a:ext cx="1580997" cy="102412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311150">
            <a:lnSpc>
              <a:spcPct val="90000"/>
            </a:lnSpc>
            <a:spcBef>
              <a:spcPct val="0"/>
            </a:spcBef>
            <a:spcAft>
              <a:spcPct val="15000"/>
            </a:spcAft>
            <a:buChar char="•"/>
          </a:pPr>
          <a:r>
            <a:rPr lang="en-GB" sz="700" kern="1200"/>
            <a:t>Dialogues, consultations &amp; review (including at GP2022 &amp; RPs), commission studies, literature review</a:t>
          </a:r>
        </a:p>
      </dsp:txBody>
      <dsp:txXfrm>
        <a:off x="3739258" y="60866"/>
        <a:ext cx="1061704" cy="723102"/>
      </dsp:txXfrm>
    </dsp:sp>
    <dsp:sp modelId="{36A63CAB-168E-4F29-8FD0-1B1B43D69B2A}">
      <dsp:nvSpPr>
        <dsp:cNvPr id="0" name=""/>
        <dsp:cNvSpPr/>
      </dsp:nvSpPr>
      <dsp:spPr>
        <a:xfrm>
          <a:off x="662939" y="38369"/>
          <a:ext cx="1580997" cy="102412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311150">
            <a:lnSpc>
              <a:spcPct val="90000"/>
            </a:lnSpc>
            <a:spcBef>
              <a:spcPct val="0"/>
            </a:spcBef>
            <a:spcAft>
              <a:spcPct val="15000"/>
            </a:spcAft>
            <a:buChar char="•"/>
          </a:pPr>
          <a:r>
            <a:rPr lang="en-GB" sz="700" kern="1200"/>
            <a:t>MTR SF Roadmap, substantive guidance, guiding questions, consultation guidance</a:t>
          </a:r>
        </a:p>
      </dsp:txBody>
      <dsp:txXfrm>
        <a:off x="685436" y="60866"/>
        <a:ext cx="1061704" cy="723102"/>
      </dsp:txXfrm>
    </dsp:sp>
    <dsp:sp modelId="{CAE5609A-3966-4ED8-BCF0-30AA63638F00}">
      <dsp:nvSpPr>
        <dsp:cNvPr id="0" name=""/>
        <dsp:cNvSpPr/>
      </dsp:nvSpPr>
      <dsp:spPr>
        <a:xfrm>
          <a:off x="1428586" y="325944"/>
          <a:ext cx="1179445" cy="1175468"/>
        </a:xfrm>
        <a:prstGeom prst="pieWedge">
          <a:avLst/>
        </a:prstGeom>
        <a:solidFill>
          <a:schemeClr val="accent1">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solidFill>
            </a:rPr>
            <a:t>Q4 2021</a:t>
          </a:r>
        </a:p>
      </dsp:txBody>
      <dsp:txXfrm>
        <a:off x="1774037" y="670231"/>
        <a:ext cx="833994" cy="831181"/>
      </dsp:txXfrm>
    </dsp:sp>
    <dsp:sp modelId="{6C1695A3-1C07-41CA-8FE9-103CE282F1D9}">
      <dsp:nvSpPr>
        <dsp:cNvPr id="0" name=""/>
        <dsp:cNvSpPr/>
      </dsp:nvSpPr>
      <dsp:spPr>
        <a:xfrm rot="5400000">
          <a:off x="2886079" y="275592"/>
          <a:ext cx="1164021" cy="1276172"/>
        </a:xfrm>
        <a:prstGeom prst="pieWedge">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solidFill>
            </a:rPr>
            <a:t>Q4 2021 - Q2 2022</a:t>
          </a:r>
        </a:p>
      </dsp:txBody>
      <dsp:txXfrm rot="-5400000">
        <a:off x="2830004" y="672601"/>
        <a:ext cx="902390" cy="823087"/>
      </dsp:txXfrm>
    </dsp:sp>
    <dsp:sp modelId="{52D1386D-5125-49FE-B5BE-797EC06E487C}">
      <dsp:nvSpPr>
        <dsp:cNvPr id="0" name=""/>
        <dsp:cNvSpPr/>
      </dsp:nvSpPr>
      <dsp:spPr>
        <a:xfrm rot="10800000">
          <a:off x="2846564" y="1747899"/>
          <a:ext cx="1243052" cy="1231120"/>
        </a:xfrm>
        <a:prstGeom prst="pieWedge">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solidFill>
            </a:rPr>
            <a:t>Q2 2022 - Q1</a:t>
          </a:r>
          <a:r>
            <a:rPr lang="en-GB" sz="1300" kern="1200"/>
            <a:t> </a:t>
          </a:r>
          <a:r>
            <a:rPr lang="en-GB" sz="1300" kern="1200">
              <a:solidFill>
                <a:sysClr val="windowText" lastClr="000000"/>
              </a:solidFill>
            </a:rPr>
            <a:t>2023</a:t>
          </a:r>
        </a:p>
      </dsp:txBody>
      <dsp:txXfrm rot="10800000">
        <a:off x="2846564" y="1747899"/>
        <a:ext cx="878970" cy="870533"/>
      </dsp:txXfrm>
    </dsp:sp>
    <dsp:sp modelId="{BAD191DF-BB0D-41D3-B7BA-9432DA450B6B}">
      <dsp:nvSpPr>
        <dsp:cNvPr id="0" name=""/>
        <dsp:cNvSpPr/>
      </dsp:nvSpPr>
      <dsp:spPr>
        <a:xfrm rot="16200000">
          <a:off x="1402748" y="1765789"/>
          <a:ext cx="1231120" cy="1195340"/>
        </a:xfrm>
        <a:prstGeom prst="pieWedge">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GB" sz="1300" kern="1200"/>
            <a:t>Q1 - Q4 2023</a:t>
          </a:r>
        </a:p>
      </dsp:txBody>
      <dsp:txXfrm rot="5400000">
        <a:off x="1770745" y="1747899"/>
        <a:ext cx="845233" cy="870533"/>
      </dsp:txXfrm>
    </dsp:sp>
    <dsp:sp modelId="{AEA76ACB-EFC7-42DF-A0E1-3D6620C10F0C}">
      <dsp:nvSpPr>
        <dsp:cNvPr id="0" name=""/>
        <dsp:cNvSpPr/>
      </dsp:nvSpPr>
      <dsp:spPr>
        <a:xfrm rot="7216480">
          <a:off x="1204755" y="-107379"/>
          <a:ext cx="2024468" cy="3193856"/>
        </a:xfrm>
        <a:prstGeom prst="circularArrow">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BE058389-E1EB-444E-8F40-B70F4320F9A6}">
      <dsp:nvSpPr>
        <dsp:cNvPr id="0" name=""/>
        <dsp:cNvSpPr/>
      </dsp:nvSpPr>
      <dsp:spPr>
        <a:xfrm rot="10800000">
          <a:off x="2345635" y="1334825"/>
          <a:ext cx="795128" cy="853771"/>
        </a:xfrm>
        <a:prstGeom prst="circularArrow">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EC803CD-C7E8-1744-8351-05CB440C51A7}">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bc941e8-b186-416f-b222-1c1c6eb8670d">
      <UserInfo>
        <DisplayName>MTR SF Task Force Members</DisplayName>
        <AccountId>19</AccountId>
        <AccountType/>
      </UserInfo>
      <UserInfo>
        <DisplayName>Diana Mosquera Calle</DisplayName>
        <AccountId>20</AccountId>
        <AccountType/>
      </UserInfo>
      <UserInfo>
        <DisplayName>Jennifer Guralnick</DisplayName>
        <AccountId>21</AccountId>
        <AccountType/>
      </UserInfo>
      <UserInfo>
        <DisplayName>Nahuel Arenas Garcia</DisplayName>
        <AccountId>22</AccountId>
        <AccountType/>
      </UserInfo>
      <UserInfo>
        <DisplayName>Sarah Wade-Apicella</DisplayName>
        <AccountId>23</AccountId>
        <AccountType/>
      </UserInfo>
      <UserInfo>
        <DisplayName>Laurel Jo-Anne Hanson</DisplayName>
        <AccountId>24</AccountId>
        <AccountType/>
      </UserInfo>
      <UserInfo>
        <DisplayName>Denis Mc Clean</DisplayName>
        <AccountId>25</AccountId>
        <AccountType/>
      </UserInfo>
      <UserInfo>
        <DisplayName>Fanny Langella</DisplayName>
        <AccountId>26</AccountId>
        <AccountType/>
      </UserInfo>
      <UserInfo>
        <DisplayName>Stefanie Dannenmann-Di Palma</DisplayName>
        <AccountId>27</AccountId>
        <AccountType/>
      </UserInfo>
      <UserInfo>
        <DisplayName>Jenty Kirsch-Wood</DisplayName>
        <AccountId>28</AccountId>
        <AccountType/>
      </UserInfo>
      <UserInfo>
        <DisplayName>Christel Rose</DisplayName>
        <AccountId>29</AccountId>
        <AccountType/>
      </UserInfo>
      <UserInfo>
        <DisplayName>Emilia Wahlstrom</DisplayName>
        <AccountId>30</AccountId>
        <AccountType/>
      </UserInfo>
      <UserInfo>
        <DisplayName>Emanuel Andrea Boscardin</DisplayName>
        <AccountId>31</AccountId>
        <AccountType/>
      </UserInfo>
      <UserInfo>
        <DisplayName>Emmanuel Huntzinger</DisplayName>
        <AccountId>32</AccountId>
        <AccountType/>
      </UserInfo>
      <UserInfo>
        <DisplayName>Sanjaya Bhatia</DisplayName>
        <AccountId>33</AccountId>
        <AccountType/>
      </UserInfo>
      <UserInfo>
        <DisplayName>Sebastien Penzini</DisplayName>
        <AccountId>34</AccountId>
        <AccountType/>
      </UserInfo>
      <UserInfo>
        <DisplayName>Timothy Wilcox</DisplayName>
        <AccountId>35</AccountId>
        <AccountType/>
      </UserInfo>
      <UserInfo>
        <DisplayName>Mirna Abu Ata</DisplayName>
        <AccountId>36</AccountId>
        <AccountType/>
      </UserInfo>
      <UserInfo>
        <DisplayName>Ricardo Mena Speck</DisplayName>
        <AccountId>37</AccountId>
        <AccountType/>
      </UserInfo>
      <UserInfo>
        <DisplayName>Felipe De Jesus Oliveros Camacho</DisplayName>
        <AccountId>12</AccountId>
        <AccountType/>
      </UserInfo>
      <UserInfo>
        <DisplayName>Adam Rowland Fysh</DisplayName>
        <AccountId>14</AccountId>
        <AccountType/>
      </UserInfo>
      <UserInfo>
        <DisplayName>Sujit Kumar Mohanty</DisplayName>
        <AccountId>47</AccountId>
        <AccountType/>
      </UserInfo>
      <UserInfo>
        <DisplayName>Branwen Martha MILLAR</DisplayName>
        <AccountId>50</AccountId>
        <AccountType/>
      </UserInfo>
      <UserInfo>
        <DisplayName>Marc Gordon</DisplayName>
        <AccountId>9</AccountId>
        <AccountType/>
      </UserInfo>
      <UserInfo>
        <DisplayName>Marco Toscano-Rivalta</DisplayName>
        <AccountId>42</AccountId>
        <AccountType/>
      </UserInfo>
      <UserInfo>
        <DisplayName>Toni-Shae Aqeelah Freckleton</DisplayName>
        <AccountId>41</AccountId>
        <AccountType/>
      </UserInfo>
      <UserInfo>
        <DisplayName>Loretta Hieber Girardet</DisplayName>
        <AccountId>44</AccountId>
        <AccountType/>
      </UserInfo>
      <UserInfo>
        <DisplayName>Animesh Kumar</DisplayName>
        <AccountId>38</AccountId>
        <AccountType/>
      </UserInfo>
      <UserInfo>
        <DisplayName>Elina Palm</DisplayName>
        <AccountId>43</AccountId>
        <AccountType/>
      </UserInfo>
      <UserInfo>
        <DisplayName>Jeanette Elsworth</DisplayName>
        <AccountId>39</AccountId>
        <AccountType/>
      </UserInfo>
      <UserInfo>
        <DisplayName>Raul Salazar Salazar</DisplayName>
        <AccountId>45</AccountId>
        <AccountType/>
      </UserInfo>
      <UserInfo>
        <DisplayName>Paola Albrito</DisplayName>
        <AccountId>40</AccountId>
        <AccountType/>
      </UserInfo>
      <UserInfo>
        <DisplayName>Abhilash Panda</DisplayName>
        <AccountId>51</AccountId>
        <AccountType/>
      </UserInfo>
      <UserInfo>
        <DisplayName>Juliet Martinez</DisplayName>
        <AccountId>54</AccountId>
        <AccountType/>
      </UserInfo>
      <UserInfo>
        <DisplayName>Momoko Nishikawa</DisplayName>
        <AccountId>13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AFE08BBF119949BBB6C88F00064EF4" ma:contentTypeVersion="9" ma:contentTypeDescription="Create a new document." ma:contentTypeScope="" ma:versionID="f4c7f4bc2e0f46acd7a8070b0cf1d5f3">
  <xsd:schema xmlns:xsd="http://www.w3.org/2001/XMLSchema" xmlns:xs="http://www.w3.org/2001/XMLSchema" xmlns:p="http://schemas.microsoft.com/office/2006/metadata/properties" xmlns:ns2="c348843b-36d0-4912-aceb-5a7d88e5ede0" xmlns:ns3="cbc941e8-b186-416f-b222-1c1c6eb8670d" targetNamespace="http://schemas.microsoft.com/office/2006/metadata/properties" ma:root="true" ma:fieldsID="207dc2be4b3cb33061cb44720a903fd8" ns2:_="" ns3:_="">
    <xsd:import namespace="c348843b-36d0-4912-aceb-5a7d88e5ede0"/>
    <xsd:import namespace="cbc941e8-b186-416f-b222-1c1c6eb867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8843b-36d0-4912-aceb-5a7d88e5ed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c941e8-b186-416f-b222-1c1c6eb867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7C4BF6-BA7A-4978-8DD6-14748F274F5C}">
  <ds:schemaRefs>
    <ds:schemaRef ds:uri="http://schemas.microsoft.com/sharepoint/v3/contenttype/forms"/>
  </ds:schemaRefs>
</ds:datastoreItem>
</file>

<file path=customXml/itemProps2.xml><?xml version="1.0" encoding="utf-8"?>
<ds:datastoreItem xmlns:ds="http://schemas.openxmlformats.org/officeDocument/2006/customXml" ds:itemID="{C3101CC4-4E30-E846-BC87-780B79622A73}">
  <ds:schemaRefs>
    <ds:schemaRef ds:uri="http://schemas.openxmlformats.org/officeDocument/2006/bibliography"/>
  </ds:schemaRefs>
</ds:datastoreItem>
</file>

<file path=customXml/itemProps3.xml><?xml version="1.0" encoding="utf-8"?>
<ds:datastoreItem xmlns:ds="http://schemas.openxmlformats.org/officeDocument/2006/customXml" ds:itemID="{29D68DB4-82AC-4172-A308-AB6C3FE10A08}">
  <ds:schemaRefs>
    <ds:schemaRef ds:uri="http://schemas.microsoft.com/office/2006/metadata/properties"/>
    <ds:schemaRef ds:uri="http://schemas.microsoft.com/office/infopath/2007/PartnerControls"/>
    <ds:schemaRef ds:uri="cbc941e8-b186-416f-b222-1c1c6eb8670d"/>
  </ds:schemaRefs>
</ds:datastoreItem>
</file>

<file path=customXml/itemProps4.xml><?xml version="1.0" encoding="utf-8"?>
<ds:datastoreItem xmlns:ds="http://schemas.openxmlformats.org/officeDocument/2006/customXml" ds:itemID="{4EBE3640-C637-4E81-8D37-D37C7E30B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8843b-36d0-4912-aceb-5a7d88e5ede0"/>
    <ds:schemaRef ds:uri="cbc941e8-b186-416f-b222-1c1c6eb86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32</Pages>
  <Words>11433</Words>
  <Characters>67160</Characters>
  <Application>Microsoft Office Word</Application>
  <DocSecurity>4</DocSecurity>
  <Lines>1100</Lines>
  <Paragraphs>553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Gordon;Aashish Khullar;Momoko Nishikawa</dc:creator>
  <cp:keywords/>
  <dc:description/>
  <cp:lastModifiedBy>Marc Gordon</cp:lastModifiedBy>
  <cp:revision>2</cp:revision>
  <cp:lastPrinted>2021-11-17T15:25:00Z</cp:lastPrinted>
  <dcterms:created xsi:type="dcterms:W3CDTF">2022-01-31T17:03:00Z</dcterms:created>
  <dcterms:modified xsi:type="dcterms:W3CDTF">2022-01-31T17:03:00Z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documentId_5650</vt:lpwstr>
  </property>
  <property fmtid="{D5CDD505-2E9C-101B-9397-08002B2CF9AE}" pid="3" name="grammarly_documentContext">
    <vt:lpwstr>{"goals":[],"domain":"general","emotions":[],"dialect":"american"}</vt:lpwstr>
  </property>
  <property fmtid="{D5CDD505-2E9C-101B-9397-08002B2CF9AE}" pid="4" name="ContentTypeId">
    <vt:lpwstr>0x01010093AFE08BBF119949BBB6C88F00064EF4</vt:lpwstr>
  </property>
</Properties>
</file>